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tblPr>
      <w:tblGrid>
        <w:gridCol w:w="5580"/>
        <w:gridCol w:w="6120"/>
      </w:tblGrid>
      <w:tr w:rsidR="002F2ED9" w:rsidRPr="00B15DBD" w:rsidTr="002F2ED9">
        <w:trPr>
          <w:trHeight w:val="1133"/>
        </w:trPr>
        <w:tc>
          <w:tcPr>
            <w:tcW w:w="5580" w:type="dxa"/>
            <w:shd w:val="clear" w:color="auto" w:fill="auto"/>
          </w:tcPr>
          <w:p w:rsidR="002F2ED9" w:rsidRPr="00B15DBD" w:rsidRDefault="002F2ED9" w:rsidP="002F2ED9">
            <w:pPr>
              <w:rPr>
                <w:rFonts w:ascii="Calibri" w:hAnsi="Calibri"/>
                <w:b/>
                <w:color w:val="FFFFFF" w:themeColor="background1"/>
                <w:sz w:val="24"/>
                <w:szCs w:val="48"/>
              </w:rPr>
            </w:pPr>
          </w:p>
        </w:tc>
        <w:tc>
          <w:tcPr>
            <w:tcW w:w="6120" w:type="dxa"/>
            <w:shd w:val="clear" w:color="auto" w:fill="auto"/>
          </w:tcPr>
          <w:p w:rsidR="002F2ED9" w:rsidRPr="00B15DBD" w:rsidRDefault="002F2ED9" w:rsidP="002F2ED9">
            <w:pPr>
              <w:jc w:val="center"/>
              <w:rPr>
                <w:rFonts w:ascii="Calibri" w:hAnsi="Calibri"/>
                <w:b/>
                <w:color w:val="000000" w:themeColor="text1"/>
                <w:sz w:val="52"/>
                <w:szCs w:val="52"/>
              </w:rPr>
            </w:pPr>
            <w:r w:rsidRPr="00B15DBD">
              <w:rPr>
                <w:rFonts w:ascii="Calibri" w:hAnsi="Calibri"/>
                <w:b/>
                <w:noProof/>
                <w:color w:val="000000" w:themeColor="text1"/>
                <w:sz w:val="52"/>
                <w:szCs w:val="52"/>
              </w:rPr>
              <w:drawing>
                <wp:inline distT="0" distB="0" distL="0" distR="0">
                  <wp:extent cx="1081903" cy="628650"/>
                  <wp:effectExtent l="19050" t="0" r="394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1903" cy="628650"/>
                          </a:xfrm>
                          <a:prstGeom prst="rect">
                            <a:avLst/>
                          </a:prstGeom>
                          <a:noFill/>
                          <a:ln w="9525">
                            <a:noFill/>
                            <a:miter lim="800000"/>
                            <a:headEnd/>
                            <a:tailEnd/>
                          </a:ln>
                        </pic:spPr>
                      </pic:pic>
                    </a:graphicData>
                  </a:graphic>
                </wp:inline>
              </w:drawing>
            </w:r>
          </w:p>
        </w:tc>
      </w:tr>
      <w:tr w:rsidR="00300C34" w:rsidRPr="00B15DBD" w:rsidTr="0037769A">
        <w:trPr>
          <w:trHeight w:val="1133"/>
        </w:trPr>
        <w:tc>
          <w:tcPr>
            <w:tcW w:w="5580" w:type="dxa"/>
            <w:shd w:val="clear" w:color="auto" w:fill="215868" w:themeFill="accent5" w:themeFillShade="80"/>
          </w:tcPr>
          <w:p w:rsidR="00300C34" w:rsidRPr="00B15DBD" w:rsidRDefault="00B21284" w:rsidP="00345686">
            <w:pPr>
              <w:spacing w:before="240" w:after="240"/>
              <w:rPr>
                <w:rFonts w:ascii="Calibri" w:hAnsi="Calibri"/>
                <w:b/>
                <w:color w:val="FFFFFF" w:themeColor="background1"/>
                <w:sz w:val="48"/>
                <w:szCs w:val="48"/>
              </w:rPr>
            </w:pPr>
            <w:r w:rsidRPr="00B15DBD">
              <w:rPr>
                <w:rFonts w:ascii="Calibri" w:hAnsi="Calibri"/>
                <w:b/>
                <w:color w:val="FFFFFF" w:themeColor="background1"/>
                <w:sz w:val="52"/>
                <w:szCs w:val="48"/>
              </w:rPr>
              <w:t>TECHNICAL DATA SHEET</w:t>
            </w:r>
          </w:p>
        </w:tc>
        <w:tc>
          <w:tcPr>
            <w:tcW w:w="6120" w:type="dxa"/>
            <w:shd w:val="clear" w:color="auto" w:fill="auto"/>
          </w:tcPr>
          <w:p w:rsidR="00300C34" w:rsidRPr="00B15DBD" w:rsidRDefault="00300C34" w:rsidP="00272F95">
            <w:pPr>
              <w:spacing w:before="240" w:after="240"/>
              <w:rPr>
                <w:rFonts w:ascii="Calibri" w:hAnsi="Calibri"/>
                <w:b/>
                <w:color w:val="000000" w:themeColor="text1"/>
                <w:sz w:val="52"/>
                <w:szCs w:val="52"/>
              </w:rPr>
            </w:pPr>
            <w:r w:rsidRPr="00B15DBD">
              <w:rPr>
                <w:rFonts w:ascii="Calibri" w:hAnsi="Calibri"/>
                <w:b/>
                <w:color w:val="000000" w:themeColor="text1"/>
                <w:sz w:val="52"/>
                <w:szCs w:val="52"/>
              </w:rPr>
              <w:t xml:space="preserve">  </w:t>
            </w:r>
            <w:r w:rsidR="00F504FB" w:rsidRPr="00B15DBD">
              <w:rPr>
                <w:rFonts w:ascii="Calibri" w:hAnsi="Calibri"/>
                <w:b/>
                <w:color w:val="000000" w:themeColor="text1"/>
                <w:sz w:val="52"/>
                <w:szCs w:val="52"/>
              </w:rPr>
              <w:t xml:space="preserve">   </w:t>
            </w:r>
            <w:r w:rsidR="00272F95">
              <w:rPr>
                <w:rFonts w:ascii="Calibri" w:hAnsi="Calibri"/>
                <w:b/>
                <w:color w:val="000000" w:themeColor="text1"/>
                <w:sz w:val="52"/>
                <w:szCs w:val="52"/>
              </w:rPr>
              <w:t>THYMOL IODIDE</w:t>
            </w:r>
          </w:p>
        </w:tc>
      </w:tr>
    </w:tbl>
    <w:p w:rsidR="00343F06" w:rsidRPr="00B15DBD" w:rsidRDefault="00343F06">
      <w:pPr>
        <w:rPr>
          <w:rFonts w:ascii="Calibri" w:hAnsi="Calibri"/>
          <w:sz w:val="2"/>
        </w:rPr>
      </w:pPr>
    </w:p>
    <w:tbl>
      <w:tblPr>
        <w:tblStyle w:val="TableGrid"/>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8"/>
        <w:gridCol w:w="236"/>
        <w:gridCol w:w="1961"/>
        <w:gridCol w:w="359"/>
        <w:gridCol w:w="3296"/>
      </w:tblGrid>
      <w:tr w:rsidR="00634F02" w:rsidRPr="00B15DBD" w:rsidTr="00EC6DB8">
        <w:trPr>
          <w:trHeight w:val="334"/>
        </w:trPr>
        <w:tc>
          <w:tcPr>
            <w:tcW w:w="5488" w:type="dxa"/>
            <w:vMerge w:val="restart"/>
          </w:tcPr>
          <w:p w:rsidR="00EC6DB8" w:rsidRDefault="00EC6DB8" w:rsidP="00032F6D">
            <w:pPr>
              <w:jc w:val="center"/>
              <w:rPr>
                <w:rFonts w:ascii="Calibri" w:hAnsi="Calibri"/>
              </w:rPr>
            </w:pPr>
          </w:p>
          <w:p w:rsidR="00634F02" w:rsidRPr="00B15DBD" w:rsidRDefault="008545A0" w:rsidP="00032F6D">
            <w:pPr>
              <w:jc w:val="center"/>
              <w:rPr>
                <w:rFonts w:ascii="Calibri" w:hAnsi="Calibri"/>
              </w:rPr>
            </w:pPr>
            <w:r>
              <w:rPr>
                <w:noProof/>
              </w:rPr>
              <w:drawing>
                <wp:inline distT="0" distB="0" distL="0" distR="0">
                  <wp:extent cx="2465614" cy="1028700"/>
                  <wp:effectExtent l="0" t="0" r="0" b="0"/>
                  <wp:docPr id="1" name="Picture 1" descr="https://media.scbt.com/product/11/52/b/11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cbt.com/product/11/52/b/115224.jpg"/>
                          <pic:cNvPicPr>
                            <a:picLocks noChangeAspect="1" noChangeArrowheads="1"/>
                          </pic:cNvPicPr>
                        </pic:nvPicPr>
                        <pic:blipFill>
                          <a:blip r:embed="rId8"/>
                          <a:srcRect/>
                          <a:stretch>
                            <a:fillRect/>
                          </a:stretch>
                        </pic:blipFill>
                        <pic:spPr bwMode="auto">
                          <a:xfrm>
                            <a:off x="0" y="0"/>
                            <a:ext cx="2465761" cy="1028761"/>
                          </a:xfrm>
                          <a:prstGeom prst="rect">
                            <a:avLst/>
                          </a:prstGeom>
                          <a:noFill/>
                          <a:ln w="9525">
                            <a:noFill/>
                            <a:miter lim="800000"/>
                            <a:headEnd/>
                            <a:tailEnd/>
                          </a:ln>
                        </pic:spPr>
                      </pic:pic>
                    </a:graphicData>
                  </a:graphic>
                </wp:inline>
              </w:drawing>
            </w:r>
          </w:p>
        </w:tc>
        <w:tc>
          <w:tcPr>
            <w:tcW w:w="236" w:type="dxa"/>
            <w:vMerge w:val="restart"/>
          </w:tcPr>
          <w:p w:rsidR="00634F02" w:rsidRPr="00B15DBD" w:rsidRDefault="00634F02">
            <w:pPr>
              <w:rPr>
                <w:rFonts w:ascii="Calibri" w:hAnsi="Calibri"/>
              </w:rPr>
            </w:pPr>
          </w:p>
        </w:tc>
        <w:tc>
          <w:tcPr>
            <w:tcW w:w="1961" w:type="dxa"/>
          </w:tcPr>
          <w:p w:rsidR="00634F02" w:rsidRPr="00B15DBD" w:rsidRDefault="00634F02" w:rsidP="00032F6D">
            <w:pPr>
              <w:rPr>
                <w:rFonts w:ascii="Calibri" w:hAnsi="Calibri"/>
              </w:rPr>
            </w:pPr>
            <w:r w:rsidRPr="00B15DBD">
              <w:rPr>
                <w:rFonts w:ascii="Calibri" w:hAnsi="Calibri"/>
              </w:rPr>
              <w:t>Product Name</w:t>
            </w:r>
          </w:p>
        </w:tc>
        <w:tc>
          <w:tcPr>
            <w:tcW w:w="359" w:type="dxa"/>
          </w:tcPr>
          <w:p w:rsidR="00634F02" w:rsidRPr="00B15DBD" w:rsidRDefault="00634F02" w:rsidP="00E05E1A">
            <w:pPr>
              <w:rPr>
                <w:rFonts w:ascii="Calibri" w:hAnsi="Calibri"/>
              </w:rPr>
            </w:pPr>
            <w:r w:rsidRPr="00B15DBD">
              <w:rPr>
                <w:rFonts w:ascii="Calibri" w:hAnsi="Calibri"/>
              </w:rPr>
              <w:t>:</w:t>
            </w:r>
          </w:p>
        </w:tc>
        <w:tc>
          <w:tcPr>
            <w:tcW w:w="3296" w:type="dxa"/>
          </w:tcPr>
          <w:p w:rsidR="00634F02" w:rsidRPr="00B15DBD" w:rsidRDefault="00272F95" w:rsidP="00D62C69">
            <w:pPr>
              <w:rPr>
                <w:rFonts w:ascii="Calibri" w:hAnsi="Calibri"/>
              </w:rPr>
            </w:pPr>
            <w:r>
              <w:rPr>
                <w:rFonts w:ascii="Calibri" w:hAnsi="Calibri"/>
              </w:rPr>
              <w:t>THYMOL IODIDE</w:t>
            </w:r>
          </w:p>
        </w:tc>
      </w:tr>
      <w:tr w:rsidR="00634F02" w:rsidRPr="00B15DBD" w:rsidTr="00EC6DB8">
        <w:trPr>
          <w:trHeight w:val="360"/>
        </w:trPr>
        <w:tc>
          <w:tcPr>
            <w:tcW w:w="5488" w:type="dxa"/>
            <w:vMerge/>
          </w:tcPr>
          <w:p w:rsidR="00634F02" w:rsidRPr="00B15DBD" w:rsidRDefault="00634F02">
            <w:pPr>
              <w:rPr>
                <w:rFonts w:ascii="Calibri" w:hAnsi="Calibri"/>
              </w:rPr>
            </w:pPr>
          </w:p>
        </w:tc>
        <w:tc>
          <w:tcPr>
            <w:tcW w:w="236" w:type="dxa"/>
            <w:vMerge/>
          </w:tcPr>
          <w:p w:rsidR="00634F02" w:rsidRPr="00B15DBD" w:rsidRDefault="00634F02">
            <w:pPr>
              <w:rPr>
                <w:rFonts w:ascii="Calibri" w:hAnsi="Calibri"/>
              </w:rPr>
            </w:pPr>
          </w:p>
        </w:tc>
        <w:tc>
          <w:tcPr>
            <w:tcW w:w="1961" w:type="dxa"/>
          </w:tcPr>
          <w:p w:rsidR="00634F02" w:rsidRPr="00B15DBD" w:rsidRDefault="00634F02">
            <w:pPr>
              <w:rPr>
                <w:rFonts w:ascii="Calibri" w:hAnsi="Calibri"/>
              </w:rPr>
            </w:pPr>
            <w:r w:rsidRPr="00B15DBD">
              <w:rPr>
                <w:rFonts w:ascii="Calibri" w:hAnsi="Calibri"/>
              </w:rPr>
              <w:t>Brand Name</w:t>
            </w:r>
          </w:p>
        </w:tc>
        <w:tc>
          <w:tcPr>
            <w:tcW w:w="359" w:type="dxa"/>
          </w:tcPr>
          <w:p w:rsidR="00634F02" w:rsidRPr="00B15DBD" w:rsidRDefault="00634F02">
            <w:pPr>
              <w:rPr>
                <w:rFonts w:ascii="Calibri" w:hAnsi="Calibri"/>
              </w:rPr>
            </w:pPr>
            <w:r w:rsidRPr="00B15DBD">
              <w:rPr>
                <w:rFonts w:ascii="Calibri" w:hAnsi="Calibri"/>
              </w:rPr>
              <w:t>:</w:t>
            </w:r>
          </w:p>
        </w:tc>
        <w:tc>
          <w:tcPr>
            <w:tcW w:w="3296" w:type="dxa"/>
          </w:tcPr>
          <w:p w:rsidR="00634F02" w:rsidRPr="00B15DBD" w:rsidRDefault="00272F95" w:rsidP="008B138C">
            <w:pPr>
              <w:rPr>
                <w:rFonts w:ascii="Calibri" w:hAnsi="Calibri"/>
              </w:rPr>
            </w:pPr>
            <w:r>
              <w:rPr>
                <w:rFonts w:ascii="Calibri" w:hAnsi="Calibri"/>
              </w:rPr>
              <w:t>TH</w:t>
            </w:r>
          </w:p>
        </w:tc>
      </w:tr>
      <w:tr w:rsidR="00634F02" w:rsidRPr="00B15DBD" w:rsidTr="00EC6DB8">
        <w:trPr>
          <w:trHeight w:val="283"/>
        </w:trPr>
        <w:tc>
          <w:tcPr>
            <w:tcW w:w="5488" w:type="dxa"/>
            <w:vMerge/>
          </w:tcPr>
          <w:p w:rsidR="00634F02" w:rsidRPr="00B15DBD" w:rsidRDefault="00634F02">
            <w:pPr>
              <w:rPr>
                <w:rFonts w:ascii="Calibri" w:hAnsi="Calibri"/>
              </w:rPr>
            </w:pPr>
          </w:p>
        </w:tc>
        <w:tc>
          <w:tcPr>
            <w:tcW w:w="236" w:type="dxa"/>
            <w:vMerge/>
          </w:tcPr>
          <w:p w:rsidR="00634F02" w:rsidRPr="00B15DBD" w:rsidRDefault="00634F02">
            <w:pPr>
              <w:rPr>
                <w:rFonts w:ascii="Calibri" w:hAnsi="Calibri"/>
              </w:rPr>
            </w:pPr>
          </w:p>
        </w:tc>
        <w:tc>
          <w:tcPr>
            <w:tcW w:w="1961" w:type="dxa"/>
          </w:tcPr>
          <w:p w:rsidR="00634F02" w:rsidRPr="00B15DBD" w:rsidRDefault="00634F02">
            <w:pPr>
              <w:rPr>
                <w:rFonts w:ascii="Calibri" w:hAnsi="Calibri"/>
              </w:rPr>
            </w:pPr>
            <w:r w:rsidRPr="00B15DBD">
              <w:rPr>
                <w:rFonts w:ascii="Calibri" w:hAnsi="Calibri"/>
              </w:rPr>
              <w:t>Synonym</w:t>
            </w:r>
          </w:p>
        </w:tc>
        <w:tc>
          <w:tcPr>
            <w:tcW w:w="359" w:type="dxa"/>
          </w:tcPr>
          <w:p w:rsidR="00634F02" w:rsidRPr="00B15DBD" w:rsidRDefault="00634F02">
            <w:pPr>
              <w:rPr>
                <w:rFonts w:ascii="Calibri" w:hAnsi="Calibri"/>
              </w:rPr>
            </w:pPr>
            <w:r w:rsidRPr="00B15DBD">
              <w:rPr>
                <w:rFonts w:ascii="Calibri" w:hAnsi="Calibri"/>
              </w:rPr>
              <w:t>:</w:t>
            </w:r>
          </w:p>
        </w:tc>
        <w:tc>
          <w:tcPr>
            <w:tcW w:w="3296" w:type="dxa"/>
          </w:tcPr>
          <w:p w:rsidR="00634F02" w:rsidRPr="00B15DBD" w:rsidRDefault="00272F95" w:rsidP="007A4D7B">
            <w:pPr>
              <w:rPr>
                <w:rFonts w:ascii="Calibri" w:hAnsi="Calibri"/>
              </w:rPr>
            </w:pPr>
            <w:r>
              <w:t>,4'-Bis(iodooxy)-2,2'-dimethyl-5,5'-bis(1- methylethyl)-1,1'-biphenyl</w:t>
            </w:r>
          </w:p>
        </w:tc>
      </w:tr>
      <w:tr w:rsidR="00634F02" w:rsidRPr="00B15DBD" w:rsidTr="00EC6DB8">
        <w:trPr>
          <w:trHeight w:val="373"/>
        </w:trPr>
        <w:tc>
          <w:tcPr>
            <w:tcW w:w="5488" w:type="dxa"/>
            <w:vMerge/>
          </w:tcPr>
          <w:p w:rsidR="00634F02" w:rsidRPr="00B15DBD" w:rsidRDefault="00634F02">
            <w:pPr>
              <w:rPr>
                <w:rFonts w:ascii="Calibri" w:hAnsi="Calibri"/>
              </w:rPr>
            </w:pPr>
          </w:p>
        </w:tc>
        <w:tc>
          <w:tcPr>
            <w:tcW w:w="236" w:type="dxa"/>
            <w:vMerge/>
          </w:tcPr>
          <w:p w:rsidR="00634F02" w:rsidRPr="00B15DBD" w:rsidRDefault="00634F02">
            <w:pPr>
              <w:rPr>
                <w:rFonts w:ascii="Calibri" w:hAnsi="Calibri"/>
              </w:rPr>
            </w:pPr>
          </w:p>
        </w:tc>
        <w:tc>
          <w:tcPr>
            <w:tcW w:w="1961" w:type="dxa"/>
          </w:tcPr>
          <w:p w:rsidR="00634F02" w:rsidRPr="00B15DBD" w:rsidRDefault="00634F02" w:rsidP="007C2F25">
            <w:pPr>
              <w:rPr>
                <w:rFonts w:ascii="Calibri" w:hAnsi="Calibri"/>
              </w:rPr>
            </w:pPr>
            <w:r w:rsidRPr="00B15DBD">
              <w:rPr>
                <w:rFonts w:ascii="Calibri" w:hAnsi="Calibri"/>
              </w:rPr>
              <w:t>CAS NO.</w:t>
            </w:r>
          </w:p>
        </w:tc>
        <w:tc>
          <w:tcPr>
            <w:tcW w:w="359" w:type="dxa"/>
          </w:tcPr>
          <w:p w:rsidR="00634F02" w:rsidRPr="00B15DBD" w:rsidRDefault="00634F02">
            <w:pPr>
              <w:rPr>
                <w:rFonts w:ascii="Calibri" w:hAnsi="Calibri"/>
              </w:rPr>
            </w:pPr>
            <w:r w:rsidRPr="00B15DBD">
              <w:rPr>
                <w:rFonts w:ascii="Calibri" w:hAnsi="Calibri"/>
              </w:rPr>
              <w:t>:</w:t>
            </w:r>
          </w:p>
        </w:tc>
        <w:tc>
          <w:tcPr>
            <w:tcW w:w="3296" w:type="dxa"/>
          </w:tcPr>
          <w:p w:rsidR="00634F02" w:rsidRPr="00B15DBD" w:rsidRDefault="00916A01">
            <w:pPr>
              <w:rPr>
                <w:rFonts w:ascii="Calibri" w:hAnsi="Calibri"/>
              </w:rPr>
            </w:pPr>
            <w:r>
              <w:t>552-22-7</w:t>
            </w:r>
          </w:p>
        </w:tc>
      </w:tr>
      <w:tr w:rsidR="00410B34" w:rsidRPr="00B15DBD" w:rsidTr="00EC6DB8">
        <w:trPr>
          <w:trHeight w:val="61"/>
        </w:trPr>
        <w:tc>
          <w:tcPr>
            <w:tcW w:w="5488" w:type="dxa"/>
            <w:vMerge/>
          </w:tcPr>
          <w:p w:rsidR="00410B34" w:rsidRPr="00B15DBD" w:rsidRDefault="00410B34">
            <w:pPr>
              <w:rPr>
                <w:rFonts w:ascii="Calibri" w:hAnsi="Calibri"/>
              </w:rPr>
            </w:pPr>
          </w:p>
        </w:tc>
        <w:tc>
          <w:tcPr>
            <w:tcW w:w="236" w:type="dxa"/>
            <w:vMerge/>
          </w:tcPr>
          <w:p w:rsidR="00410B34" w:rsidRPr="00B15DBD" w:rsidRDefault="00410B34">
            <w:pPr>
              <w:rPr>
                <w:rFonts w:ascii="Calibri" w:hAnsi="Calibri"/>
              </w:rPr>
            </w:pPr>
          </w:p>
        </w:tc>
        <w:tc>
          <w:tcPr>
            <w:tcW w:w="1961" w:type="dxa"/>
          </w:tcPr>
          <w:p w:rsidR="00410B34" w:rsidRPr="00B15DBD" w:rsidRDefault="00410B34" w:rsidP="00D22B85">
            <w:pPr>
              <w:rPr>
                <w:rFonts w:ascii="Calibri" w:hAnsi="Calibri"/>
              </w:rPr>
            </w:pPr>
            <w:r w:rsidRPr="00B15DBD">
              <w:rPr>
                <w:rFonts w:ascii="Calibri" w:hAnsi="Calibri"/>
              </w:rPr>
              <w:t>Molecular Formula</w:t>
            </w:r>
          </w:p>
        </w:tc>
        <w:tc>
          <w:tcPr>
            <w:tcW w:w="359" w:type="dxa"/>
          </w:tcPr>
          <w:p w:rsidR="00410B34" w:rsidRPr="00B15DBD" w:rsidRDefault="00410B34" w:rsidP="00D22B85">
            <w:pPr>
              <w:rPr>
                <w:rFonts w:ascii="Calibri" w:hAnsi="Calibri"/>
              </w:rPr>
            </w:pPr>
            <w:r w:rsidRPr="00B15DBD">
              <w:rPr>
                <w:rFonts w:ascii="Calibri" w:hAnsi="Calibri"/>
              </w:rPr>
              <w:t>:</w:t>
            </w:r>
          </w:p>
        </w:tc>
        <w:tc>
          <w:tcPr>
            <w:tcW w:w="3296" w:type="dxa"/>
          </w:tcPr>
          <w:p w:rsidR="00410B34" w:rsidRPr="00B15DBD" w:rsidRDefault="00F30FFF" w:rsidP="00F30FFF">
            <w:pPr>
              <w:rPr>
                <w:rFonts w:ascii="Calibri" w:hAnsi="Calibri"/>
              </w:rPr>
            </w:pPr>
            <w:r>
              <w:t>C</w:t>
            </w:r>
            <w:r w:rsidRPr="003111F5">
              <w:rPr>
                <w:vertAlign w:val="subscript"/>
              </w:rPr>
              <w:t>20</w:t>
            </w:r>
            <w:r>
              <w:t>H</w:t>
            </w:r>
            <w:r w:rsidRPr="003111F5">
              <w:rPr>
                <w:vertAlign w:val="subscript"/>
              </w:rPr>
              <w:t>24</w:t>
            </w:r>
            <w:r>
              <w:t>I</w:t>
            </w:r>
            <w:r w:rsidRPr="003111F5">
              <w:rPr>
                <w:vertAlign w:val="subscript"/>
              </w:rPr>
              <w:t>2</w:t>
            </w:r>
            <w:r>
              <w:t>O</w:t>
            </w:r>
            <w:r w:rsidRPr="003111F5">
              <w:rPr>
                <w:vertAlign w:val="subscript"/>
              </w:rPr>
              <w:t>2</w:t>
            </w:r>
          </w:p>
        </w:tc>
      </w:tr>
      <w:tr w:rsidR="004717EE" w:rsidRPr="00B15DBD" w:rsidTr="00EC6DB8">
        <w:trPr>
          <w:trHeight w:val="170"/>
        </w:trPr>
        <w:tc>
          <w:tcPr>
            <w:tcW w:w="5488" w:type="dxa"/>
            <w:vMerge w:val="restart"/>
          </w:tcPr>
          <w:p w:rsidR="00034496" w:rsidRPr="00B15DBD" w:rsidRDefault="004717EE">
            <w:pPr>
              <w:rPr>
                <w:rFonts w:ascii="Calibri" w:hAnsi="Calibri"/>
                <w:b/>
              </w:rPr>
            </w:pPr>
            <w:r w:rsidRPr="00B15DBD">
              <w:rPr>
                <w:rFonts w:ascii="Calibri" w:hAnsi="Calibri"/>
                <w:b/>
              </w:rPr>
              <w:t>Description :</w:t>
            </w:r>
          </w:p>
          <w:p w:rsidR="00034496" w:rsidRPr="00586A10" w:rsidRDefault="00586A10" w:rsidP="001E6DBA">
            <w:pPr>
              <w:rPr>
                <w:rFonts w:ascii="Calibri" w:hAnsi="Calibri" w:cs="Tahoma"/>
                <w:color w:val="111111"/>
                <w:shd w:val="clear" w:color="auto" w:fill="FFFFFF"/>
              </w:rPr>
            </w:pPr>
            <w:r w:rsidRPr="00586A10">
              <w:rPr>
                <w:rFonts w:ascii="Calibri" w:hAnsi="Calibri" w:cs="Arial"/>
                <w:color w:val="000000"/>
                <w:shd w:val="clear" w:color="auto" w:fill="FFFFFF"/>
              </w:rPr>
              <w:t>Thymol iodide is a mixture of iodine derivatives of iodine, chiefly dithymol diiodide containing not less than 43% iodine. Although this chemical has little or no antiseptic action, it does act as an absorbent and protective. Used in dusting powders and ointments and in dental root filling preparations.</w:t>
            </w:r>
          </w:p>
          <w:p w:rsidR="00DB12BA" w:rsidRPr="00B15DBD" w:rsidRDefault="00DB12BA" w:rsidP="00DB722D">
            <w:pPr>
              <w:rPr>
                <w:rFonts w:ascii="Calibri" w:hAnsi="Calibri"/>
                <w:sz w:val="6"/>
              </w:rPr>
            </w:pPr>
          </w:p>
        </w:tc>
        <w:tc>
          <w:tcPr>
            <w:tcW w:w="236" w:type="dxa"/>
            <w:vMerge/>
          </w:tcPr>
          <w:p w:rsidR="004717EE" w:rsidRPr="00B15DBD" w:rsidRDefault="004717EE">
            <w:pPr>
              <w:rPr>
                <w:rFonts w:ascii="Calibri" w:hAnsi="Calibri"/>
              </w:rPr>
            </w:pPr>
          </w:p>
        </w:tc>
        <w:tc>
          <w:tcPr>
            <w:tcW w:w="1961" w:type="dxa"/>
          </w:tcPr>
          <w:p w:rsidR="004717EE" w:rsidRPr="00B15DBD" w:rsidRDefault="004717EE" w:rsidP="00D22B85">
            <w:pPr>
              <w:rPr>
                <w:rFonts w:ascii="Calibri" w:hAnsi="Calibri"/>
              </w:rPr>
            </w:pPr>
            <w:r w:rsidRPr="00B15DBD">
              <w:rPr>
                <w:rFonts w:ascii="Calibri" w:hAnsi="Calibri"/>
              </w:rPr>
              <w:t>Molecular Weight</w:t>
            </w:r>
          </w:p>
        </w:tc>
        <w:tc>
          <w:tcPr>
            <w:tcW w:w="359" w:type="dxa"/>
          </w:tcPr>
          <w:p w:rsidR="004717EE" w:rsidRPr="00B15DBD" w:rsidRDefault="004717EE" w:rsidP="00D22B85">
            <w:pPr>
              <w:rPr>
                <w:rFonts w:ascii="Calibri" w:hAnsi="Calibri"/>
              </w:rPr>
            </w:pPr>
            <w:r w:rsidRPr="00B15DBD">
              <w:rPr>
                <w:rFonts w:ascii="Calibri" w:hAnsi="Calibri"/>
              </w:rPr>
              <w:t>:</w:t>
            </w:r>
          </w:p>
        </w:tc>
        <w:tc>
          <w:tcPr>
            <w:tcW w:w="3296" w:type="dxa"/>
          </w:tcPr>
          <w:p w:rsidR="004717EE" w:rsidRPr="00D06FC0" w:rsidRDefault="00D06FC0" w:rsidP="00197BA4">
            <w:pPr>
              <w:rPr>
                <w:rFonts w:ascii="Arial" w:hAnsi="Arial" w:cs="Arial"/>
                <w:color w:val="242424"/>
              </w:rPr>
            </w:pPr>
            <w:r>
              <w:rPr>
                <w:rFonts w:ascii="Arial" w:hAnsi="Arial" w:cs="Arial"/>
                <w:color w:val="242424"/>
              </w:rPr>
              <w:t>550.2123</w:t>
            </w:r>
          </w:p>
        </w:tc>
      </w:tr>
      <w:tr w:rsidR="000E46F8" w:rsidRPr="00B15DBD" w:rsidTr="00EC6DB8">
        <w:trPr>
          <w:trHeight w:val="347"/>
        </w:trPr>
        <w:tc>
          <w:tcPr>
            <w:tcW w:w="5488" w:type="dxa"/>
            <w:vMerge/>
          </w:tcPr>
          <w:p w:rsidR="000E46F8" w:rsidRPr="00B15DBD" w:rsidRDefault="000E46F8" w:rsidP="001E6DBA">
            <w:pPr>
              <w:rPr>
                <w:rFonts w:ascii="Calibri" w:hAnsi="Calibri"/>
                <w:b/>
              </w:rPr>
            </w:pPr>
          </w:p>
        </w:tc>
        <w:tc>
          <w:tcPr>
            <w:tcW w:w="236" w:type="dxa"/>
            <w:vMerge w:val="restart"/>
          </w:tcPr>
          <w:p w:rsidR="000E46F8" w:rsidRPr="00B15DBD" w:rsidRDefault="000E46F8">
            <w:pPr>
              <w:rPr>
                <w:rFonts w:ascii="Calibri" w:hAnsi="Calibri"/>
              </w:rPr>
            </w:pPr>
          </w:p>
        </w:tc>
        <w:tc>
          <w:tcPr>
            <w:tcW w:w="1961" w:type="dxa"/>
          </w:tcPr>
          <w:p w:rsidR="000E46F8" w:rsidRDefault="000E46F8">
            <w:pPr>
              <w:rPr>
                <w:color w:val="000000"/>
                <w:sz w:val="24"/>
                <w:szCs w:val="24"/>
              </w:rPr>
            </w:pPr>
            <w:r>
              <w:rPr>
                <w:color w:val="000000"/>
              </w:rPr>
              <w:t>Description</w:t>
            </w:r>
          </w:p>
        </w:tc>
        <w:tc>
          <w:tcPr>
            <w:tcW w:w="359" w:type="dxa"/>
          </w:tcPr>
          <w:p w:rsidR="000E46F8" w:rsidRPr="002E5EFE" w:rsidRDefault="000E46F8" w:rsidP="00D22B85">
            <w:pPr>
              <w:rPr>
                <w:rFonts w:ascii="Calibri" w:hAnsi="Calibri" w:cs="Arial"/>
              </w:rPr>
            </w:pPr>
            <w:r>
              <w:rPr>
                <w:rFonts w:ascii="Calibri" w:hAnsi="Calibri" w:cs="Arial"/>
              </w:rPr>
              <w:t>:</w:t>
            </w:r>
          </w:p>
        </w:tc>
        <w:tc>
          <w:tcPr>
            <w:tcW w:w="3296" w:type="dxa"/>
          </w:tcPr>
          <w:p w:rsidR="000E46F8" w:rsidRDefault="000E46F8">
            <w:pPr>
              <w:rPr>
                <w:color w:val="000000"/>
                <w:sz w:val="24"/>
                <w:szCs w:val="24"/>
              </w:rPr>
            </w:pPr>
            <w:r>
              <w:rPr>
                <w:color w:val="000000"/>
              </w:rPr>
              <w:t xml:space="preserve">Yellow Coloured Powder slightly aromatic smell </w:t>
            </w:r>
          </w:p>
        </w:tc>
      </w:tr>
      <w:tr w:rsidR="000E46F8" w:rsidRPr="00B15DBD" w:rsidTr="00EC6DB8">
        <w:trPr>
          <w:trHeight w:val="347"/>
        </w:trPr>
        <w:tc>
          <w:tcPr>
            <w:tcW w:w="5488" w:type="dxa"/>
            <w:vMerge/>
          </w:tcPr>
          <w:p w:rsidR="000E46F8" w:rsidRPr="00B15DBD" w:rsidRDefault="000E46F8">
            <w:pPr>
              <w:rPr>
                <w:rFonts w:ascii="Calibri" w:hAnsi="Calibri"/>
                <w:b/>
              </w:rPr>
            </w:pPr>
          </w:p>
        </w:tc>
        <w:tc>
          <w:tcPr>
            <w:tcW w:w="236" w:type="dxa"/>
            <w:vMerge/>
          </w:tcPr>
          <w:p w:rsidR="000E46F8" w:rsidRPr="00B15DBD" w:rsidRDefault="000E46F8">
            <w:pPr>
              <w:rPr>
                <w:rFonts w:ascii="Calibri" w:hAnsi="Calibri"/>
              </w:rPr>
            </w:pPr>
          </w:p>
        </w:tc>
        <w:tc>
          <w:tcPr>
            <w:tcW w:w="1961" w:type="dxa"/>
          </w:tcPr>
          <w:p w:rsidR="000E46F8" w:rsidRDefault="000E46F8">
            <w:pPr>
              <w:rPr>
                <w:color w:val="000000"/>
                <w:sz w:val="24"/>
                <w:szCs w:val="24"/>
              </w:rPr>
            </w:pPr>
            <w:r>
              <w:rPr>
                <w:color w:val="000000"/>
              </w:rPr>
              <w:t>Solubility</w:t>
            </w:r>
          </w:p>
        </w:tc>
        <w:tc>
          <w:tcPr>
            <w:tcW w:w="359" w:type="dxa"/>
          </w:tcPr>
          <w:p w:rsidR="000E46F8" w:rsidRPr="002E5EFE" w:rsidRDefault="000E46F8" w:rsidP="00D22B85">
            <w:pPr>
              <w:rPr>
                <w:rFonts w:ascii="Calibri" w:hAnsi="Calibri" w:cs="Arial"/>
              </w:rPr>
            </w:pPr>
            <w:r>
              <w:rPr>
                <w:rFonts w:ascii="Calibri" w:hAnsi="Calibri" w:cs="Arial"/>
              </w:rPr>
              <w:t>:</w:t>
            </w:r>
          </w:p>
        </w:tc>
        <w:tc>
          <w:tcPr>
            <w:tcW w:w="3296" w:type="dxa"/>
          </w:tcPr>
          <w:p w:rsidR="000E46F8" w:rsidRDefault="000E46F8">
            <w:pPr>
              <w:rPr>
                <w:color w:val="000000"/>
                <w:sz w:val="24"/>
                <w:szCs w:val="24"/>
              </w:rPr>
            </w:pPr>
            <w:r>
              <w:rPr>
                <w:color w:val="000000"/>
              </w:rPr>
              <w:t xml:space="preserve">  Freely soluble in chloroform and ether, collodion fixed and volatile oils, usually leaving a slight</w:t>
            </w:r>
          </w:p>
        </w:tc>
      </w:tr>
      <w:tr w:rsidR="000E46F8" w:rsidRPr="00B15DBD" w:rsidTr="00EC6DB8">
        <w:trPr>
          <w:trHeight w:val="251"/>
        </w:trPr>
        <w:tc>
          <w:tcPr>
            <w:tcW w:w="5488" w:type="dxa"/>
            <w:vMerge/>
          </w:tcPr>
          <w:p w:rsidR="000E46F8" w:rsidRPr="00B15DBD" w:rsidRDefault="000E46F8">
            <w:pPr>
              <w:rPr>
                <w:rFonts w:ascii="Calibri" w:hAnsi="Calibri"/>
              </w:rPr>
            </w:pPr>
          </w:p>
        </w:tc>
        <w:tc>
          <w:tcPr>
            <w:tcW w:w="236" w:type="dxa"/>
            <w:vMerge/>
          </w:tcPr>
          <w:p w:rsidR="000E46F8" w:rsidRPr="00B15DBD" w:rsidRDefault="000E46F8">
            <w:pPr>
              <w:rPr>
                <w:rFonts w:ascii="Calibri" w:hAnsi="Calibri"/>
              </w:rPr>
            </w:pPr>
          </w:p>
        </w:tc>
        <w:tc>
          <w:tcPr>
            <w:tcW w:w="1961" w:type="dxa"/>
          </w:tcPr>
          <w:p w:rsidR="000E46F8" w:rsidRDefault="000E46F8">
            <w:pPr>
              <w:rPr>
                <w:color w:val="000000"/>
                <w:sz w:val="24"/>
                <w:szCs w:val="24"/>
              </w:rPr>
            </w:pPr>
            <w:r>
              <w:rPr>
                <w:color w:val="000000"/>
              </w:rPr>
              <w:t>Alkalinity</w:t>
            </w:r>
          </w:p>
        </w:tc>
        <w:tc>
          <w:tcPr>
            <w:tcW w:w="359" w:type="dxa"/>
          </w:tcPr>
          <w:p w:rsidR="000E46F8" w:rsidRPr="002E5EFE" w:rsidRDefault="000E46F8" w:rsidP="00EF21CB">
            <w:pPr>
              <w:rPr>
                <w:rFonts w:ascii="Calibri" w:hAnsi="Calibri" w:cs="Arial"/>
              </w:rPr>
            </w:pPr>
            <w:r>
              <w:rPr>
                <w:rFonts w:ascii="Calibri" w:hAnsi="Calibri" w:cs="Arial"/>
              </w:rPr>
              <w:t>:</w:t>
            </w:r>
          </w:p>
        </w:tc>
        <w:tc>
          <w:tcPr>
            <w:tcW w:w="3296" w:type="dxa"/>
          </w:tcPr>
          <w:p w:rsidR="000E46F8" w:rsidRDefault="000E46F8">
            <w:pPr>
              <w:rPr>
                <w:color w:val="000000"/>
                <w:sz w:val="24"/>
                <w:szCs w:val="24"/>
              </w:rPr>
            </w:pPr>
            <w:r>
              <w:rPr>
                <w:color w:val="000000"/>
              </w:rPr>
              <w:t xml:space="preserve"> Not alkaline to litmus paper</w:t>
            </w:r>
          </w:p>
        </w:tc>
      </w:tr>
      <w:tr w:rsidR="000E46F8" w:rsidRPr="00B15DBD" w:rsidTr="00EC6DB8">
        <w:trPr>
          <w:trHeight w:val="193"/>
        </w:trPr>
        <w:tc>
          <w:tcPr>
            <w:tcW w:w="5488" w:type="dxa"/>
            <w:vMerge w:val="restart"/>
          </w:tcPr>
          <w:p w:rsidR="000E46F8" w:rsidRDefault="000E46F8" w:rsidP="003C5972">
            <w:pPr>
              <w:rPr>
                <w:rFonts w:ascii="Calibri" w:hAnsi="Calibri"/>
                <w:b/>
              </w:rPr>
            </w:pPr>
            <w:r w:rsidRPr="00B15DBD">
              <w:rPr>
                <w:rFonts w:ascii="Calibri" w:hAnsi="Calibri"/>
                <w:b/>
              </w:rPr>
              <w:t>Applications:</w:t>
            </w:r>
          </w:p>
          <w:p w:rsidR="009E4CDB" w:rsidRPr="00B15DBD" w:rsidRDefault="009E4CDB" w:rsidP="003C5972">
            <w:pPr>
              <w:rPr>
                <w:rFonts w:ascii="Calibri" w:hAnsi="Calibri"/>
                <w:b/>
              </w:rPr>
            </w:pPr>
          </w:p>
          <w:p w:rsidR="000E46F8" w:rsidRPr="00D01519" w:rsidRDefault="00F36922" w:rsidP="005F0B52">
            <w:pPr>
              <w:pStyle w:val="ListParagraph"/>
              <w:numPr>
                <w:ilvl w:val="0"/>
                <w:numId w:val="10"/>
              </w:numPr>
              <w:rPr>
                <w:rFonts w:ascii="Calibri" w:hAnsi="Calibri"/>
              </w:rPr>
            </w:pPr>
            <w:r w:rsidRPr="00D01519">
              <w:rPr>
                <w:rFonts w:ascii="Calibri" w:hAnsi="Calibri"/>
              </w:rPr>
              <w:t>Thymol Iodide is used in topical antiseptic.</w:t>
            </w:r>
          </w:p>
          <w:p w:rsidR="00F36922" w:rsidRPr="00D01519" w:rsidRDefault="00F36922" w:rsidP="00F36922">
            <w:pPr>
              <w:pStyle w:val="ListParagraph"/>
              <w:ind w:left="450"/>
              <w:rPr>
                <w:rFonts w:ascii="Calibri" w:hAnsi="Calibri"/>
              </w:rPr>
            </w:pPr>
          </w:p>
          <w:p w:rsidR="00F36922" w:rsidRPr="00D01519" w:rsidRDefault="00F36922" w:rsidP="00F36922">
            <w:pPr>
              <w:pStyle w:val="ListParagraph"/>
              <w:numPr>
                <w:ilvl w:val="0"/>
                <w:numId w:val="10"/>
              </w:numPr>
              <w:rPr>
                <w:rFonts w:ascii="Calibri" w:hAnsi="Calibri"/>
              </w:rPr>
            </w:pPr>
            <w:r w:rsidRPr="00D01519">
              <w:rPr>
                <w:rFonts w:ascii="Calibri" w:hAnsi="Calibri"/>
              </w:rPr>
              <w:t>It is used in feed supplement and salt blocks fo</w:t>
            </w:r>
            <w:r w:rsidR="001E23AF" w:rsidRPr="00D01519">
              <w:rPr>
                <w:rFonts w:ascii="Calibri" w:hAnsi="Calibri"/>
              </w:rPr>
              <w:t>r</w:t>
            </w:r>
            <w:r w:rsidRPr="00D01519">
              <w:rPr>
                <w:rFonts w:ascii="Calibri" w:hAnsi="Calibri"/>
              </w:rPr>
              <w:t xml:space="preserve"> animals.</w:t>
            </w:r>
          </w:p>
          <w:p w:rsidR="000E46F8" w:rsidRPr="00D01519" w:rsidRDefault="000E46F8" w:rsidP="00F82DA4">
            <w:pPr>
              <w:pStyle w:val="ListParagraph"/>
              <w:rPr>
                <w:rFonts w:ascii="Calibri" w:hAnsi="Calibri"/>
              </w:rPr>
            </w:pPr>
          </w:p>
          <w:p w:rsidR="000E46F8" w:rsidRPr="00B15DBD" w:rsidRDefault="000E46F8" w:rsidP="00F82DA4">
            <w:pPr>
              <w:rPr>
                <w:rFonts w:ascii="Calibri" w:hAnsi="Calibri"/>
                <w:sz w:val="2"/>
              </w:rPr>
            </w:pPr>
          </w:p>
        </w:tc>
        <w:tc>
          <w:tcPr>
            <w:tcW w:w="236" w:type="dxa"/>
          </w:tcPr>
          <w:p w:rsidR="000E46F8" w:rsidRPr="00B15DBD" w:rsidRDefault="000E46F8">
            <w:pPr>
              <w:rPr>
                <w:rFonts w:ascii="Calibri" w:hAnsi="Calibri"/>
              </w:rPr>
            </w:pPr>
          </w:p>
        </w:tc>
        <w:tc>
          <w:tcPr>
            <w:tcW w:w="1961" w:type="dxa"/>
          </w:tcPr>
          <w:p w:rsidR="000E46F8" w:rsidRDefault="000E46F8">
            <w:pPr>
              <w:rPr>
                <w:color w:val="000000"/>
                <w:sz w:val="24"/>
                <w:szCs w:val="24"/>
              </w:rPr>
            </w:pPr>
            <w:r>
              <w:rPr>
                <w:color w:val="000000"/>
              </w:rPr>
              <w:t xml:space="preserve"> Residue on ignition</w:t>
            </w:r>
          </w:p>
        </w:tc>
        <w:tc>
          <w:tcPr>
            <w:tcW w:w="359" w:type="dxa"/>
          </w:tcPr>
          <w:p w:rsidR="000E46F8" w:rsidRPr="002E5EFE" w:rsidRDefault="000E46F8" w:rsidP="00D22B85">
            <w:pPr>
              <w:rPr>
                <w:rFonts w:ascii="Calibri" w:hAnsi="Calibri" w:cs="Arial"/>
              </w:rPr>
            </w:pPr>
            <w:r>
              <w:rPr>
                <w:rFonts w:ascii="Calibri" w:hAnsi="Calibri" w:cs="Arial"/>
              </w:rPr>
              <w:t>:</w:t>
            </w:r>
          </w:p>
        </w:tc>
        <w:tc>
          <w:tcPr>
            <w:tcW w:w="3296" w:type="dxa"/>
          </w:tcPr>
          <w:p w:rsidR="000E46F8" w:rsidRDefault="000E46F8">
            <w:pPr>
              <w:rPr>
                <w:color w:val="000000"/>
                <w:sz w:val="24"/>
                <w:szCs w:val="24"/>
              </w:rPr>
            </w:pPr>
            <w:r>
              <w:rPr>
                <w:color w:val="000000"/>
              </w:rPr>
              <w:t xml:space="preserve">  Limit Max.  1.5  % </w:t>
            </w:r>
          </w:p>
        </w:tc>
      </w:tr>
      <w:tr w:rsidR="000E46F8" w:rsidRPr="00B15DBD" w:rsidTr="00EC6DB8">
        <w:trPr>
          <w:trHeight w:val="193"/>
        </w:trPr>
        <w:tc>
          <w:tcPr>
            <w:tcW w:w="5488" w:type="dxa"/>
            <w:vMerge/>
          </w:tcPr>
          <w:p w:rsidR="000E46F8" w:rsidRPr="00B15DBD" w:rsidRDefault="000E46F8" w:rsidP="003C5972">
            <w:pPr>
              <w:rPr>
                <w:rFonts w:ascii="Calibri" w:hAnsi="Calibri"/>
                <w:b/>
              </w:rPr>
            </w:pPr>
          </w:p>
        </w:tc>
        <w:tc>
          <w:tcPr>
            <w:tcW w:w="236" w:type="dxa"/>
          </w:tcPr>
          <w:p w:rsidR="000E46F8" w:rsidRPr="00B15DBD" w:rsidRDefault="000E46F8">
            <w:pPr>
              <w:rPr>
                <w:rFonts w:ascii="Calibri" w:hAnsi="Calibri"/>
              </w:rPr>
            </w:pPr>
          </w:p>
        </w:tc>
        <w:tc>
          <w:tcPr>
            <w:tcW w:w="1961" w:type="dxa"/>
          </w:tcPr>
          <w:p w:rsidR="000E46F8" w:rsidRDefault="000E46F8">
            <w:pPr>
              <w:rPr>
                <w:color w:val="000000"/>
                <w:sz w:val="24"/>
                <w:szCs w:val="24"/>
              </w:rPr>
            </w:pPr>
            <w:r>
              <w:rPr>
                <w:color w:val="000000"/>
              </w:rPr>
              <w:t xml:space="preserve"> Soluble Halides</w:t>
            </w:r>
          </w:p>
        </w:tc>
        <w:tc>
          <w:tcPr>
            <w:tcW w:w="359" w:type="dxa"/>
          </w:tcPr>
          <w:p w:rsidR="000E46F8" w:rsidRPr="002E5EFE" w:rsidRDefault="000E46F8" w:rsidP="00D22B85">
            <w:pPr>
              <w:rPr>
                <w:rFonts w:ascii="Calibri" w:hAnsi="Calibri" w:cs="Arial"/>
              </w:rPr>
            </w:pPr>
            <w:r>
              <w:rPr>
                <w:rFonts w:ascii="Calibri" w:hAnsi="Calibri" w:cs="Arial"/>
              </w:rPr>
              <w:t>:</w:t>
            </w:r>
          </w:p>
        </w:tc>
        <w:tc>
          <w:tcPr>
            <w:tcW w:w="3296" w:type="dxa"/>
          </w:tcPr>
          <w:p w:rsidR="000E46F8" w:rsidRDefault="000E46F8">
            <w:pPr>
              <w:rPr>
                <w:color w:val="000000"/>
                <w:sz w:val="24"/>
                <w:szCs w:val="24"/>
              </w:rPr>
            </w:pPr>
            <w:r>
              <w:rPr>
                <w:color w:val="000000"/>
              </w:rPr>
              <w:t xml:space="preserve"> Not greater than that of a control reference solution containing 2.0 mg of Potassium Iodide </w:t>
            </w:r>
            <w:r>
              <w:rPr>
                <w:color w:val="000000"/>
              </w:rPr>
              <w:br/>
              <w:t>for  100 mg of Substance</w:t>
            </w:r>
          </w:p>
        </w:tc>
      </w:tr>
      <w:tr w:rsidR="000E46F8" w:rsidRPr="00B15DBD" w:rsidTr="00EC6DB8">
        <w:trPr>
          <w:trHeight w:val="193"/>
        </w:trPr>
        <w:tc>
          <w:tcPr>
            <w:tcW w:w="5488" w:type="dxa"/>
            <w:vMerge/>
          </w:tcPr>
          <w:p w:rsidR="000E46F8" w:rsidRPr="00B15DBD" w:rsidRDefault="000E46F8" w:rsidP="003C5972">
            <w:pPr>
              <w:rPr>
                <w:rFonts w:ascii="Calibri" w:hAnsi="Calibri"/>
                <w:b/>
              </w:rPr>
            </w:pPr>
          </w:p>
        </w:tc>
        <w:tc>
          <w:tcPr>
            <w:tcW w:w="236" w:type="dxa"/>
          </w:tcPr>
          <w:p w:rsidR="000E46F8" w:rsidRPr="00B15DBD" w:rsidRDefault="000E46F8">
            <w:pPr>
              <w:rPr>
                <w:rFonts w:ascii="Calibri" w:hAnsi="Calibri"/>
              </w:rPr>
            </w:pPr>
          </w:p>
        </w:tc>
        <w:tc>
          <w:tcPr>
            <w:tcW w:w="1961" w:type="dxa"/>
          </w:tcPr>
          <w:p w:rsidR="000E46F8" w:rsidRDefault="000E46F8">
            <w:pPr>
              <w:rPr>
                <w:color w:val="000000"/>
                <w:sz w:val="24"/>
                <w:szCs w:val="24"/>
              </w:rPr>
            </w:pPr>
            <w:r>
              <w:rPr>
                <w:color w:val="000000"/>
              </w:rPr>
              <w:t xml:space="preserve">Loss on drying </w:t>
            </w:r>
          </w:p>
        </w:tc>
        <w:tc>
          <w:tcPr>
            <w:tcW w:w="359" w:type="dxa"/>
          </w:tcPr>
          <w:p w:rsidR="000E46F8" w:rsidRPr="002E5EFE" w:rsidRDefault="000E46F8" w:rsidP="00D22B85">
            <w:pPr>
              <w:rPr>
                <w:rFonts w:ascii="Calibri" w:hAnsi="Calibri" w:cs="Arial"/>
              </w:rPr>
            </w:pPr>
            <w:r>
              <w:rPr>
                <w:rFonts w:ascii="Calibri" w:hAnsi="Calibri" w:cs="Arial"/>
              </w:rPr>
              <w:t>:</w:t>
            </w:r>
          </w:p>
        </w:tc>
        <w:tc>
          <w:tcPr>
            <w:tcW w:w="3296" w:type="dxa"/>
          </w:tcPr>
          <w:p w:rsidR="000E46F8" w:rsidRDefault="000E46F8">
            <w:pPr>
              <w:rPr>
                <w:color w:val="000000"/>
                <w:sz w:val="24"/>
                <w:szCs w:val="24"/>
              </w:rPr>
            </w:pPr>
            <w:r>
              <w:rPr>
                <w:color w:val="000000"/>
              </w:rPr>
              <w:t xml:space="preserve"> Limit Max. 2.0 %</w:t>
            </w:r>
          </w:p>
        </w:tc>
      </w:tr>
      <w:tr w:rsidR="000E46F8" w:rsidRPr="00B15DBD" w:rsidTr="00EC6DB8">
        <w:trPr>
          <w:trHeight w:val="193"/>
        </w:trPr>
        <w:tc>
          <w:tcPr>
            <w:tcW w:w="5488" w:type="dxa"/>
            <w:vMerge/>
          </w:tcPr>
          <w:p w:rsidR="000E46F8" w:rsidRPr="00B15DBD" w:rsidRDefault="000E46F8" w:rsidP="003C5972">
            <w:pPr>
              <w:rPr>
                <w:rFonts w:ascii="Calibri" w:hAnsi="Calibri"/>
                <w:b/>
              </w:rPr>
            </w:pPr>
          </w:p>
        </w:tc>
        <w:tc>
          <w:tcPr>
            <w:tcW w:w="236" w:type="dxa"/>
          </w:tcPr>
          <w:p w:rsidR="000E46F8" w:rsidRPr="00B15DBD" w:rsidRDefault="000E46F8">
            <w:pPr>
              <w:rPr>
                <w:rFonts w:ascii="Calibri" w:hAnsi="Calibri"/>
              </w:rPr>
            </w:pPr>
          </w:p>
        </w:tc>
        <w:tc>
          <w:tcPr>
            <w:tcW w:w="1961" w:type="dxa"/>
          </w:tcPr>
          <w:p w:rsidR="000E46F8" w:rsidRDefault="000E46F8">
            <w:pPr>
              <w:rPr>
                <w:color w:val="000000"/>
                <w:sz w:val="24"/>
                <w:szCs w:val="24"/>
              </w:rPr>
            </w:pPr>
            <w:r>
              <w:rPr>
                <w:color w:val="000000"/>
              </w:rPr>
              <w:t>Iodine</w:t>
            </w:r>
          </w:p>
        </w:tc>
        <w:tc>
          <w:tcPr>
            <w:tcW w:w="359" w:type="dxa"/>
          </w:tcPr>
          <w:p w:rsidR="000E46F8" w:rsidRPr="002E5EFE" w:rsidRDefault="000E46F8" w:rsidP="00D22B85">
            <w:pPr>
              <w:rPr>
                <w:rFonts w:ascii="Calibri" w:hAnsi="Calibri" w:cs="Arial"/>
              </w:rPr>
            </w:pPr>
            <w:r>
              <w:rPr>
                <w:rFonts w:ascii="Calibri" w:hAnsi="Calibri" w:cs="Arial"/>
              </w:rPr>
              <w:t>:</w:t>
            </w:r>
          </w:p>
        </w:tc>
        <w:tc>
          <w:tcPr>
            <w:tcW w:w="3296" w:type="dxa"/>
          </w:tcPr>
          <w:p w:rsidR="000E46F8" w:rsidRDefault="000E46F8">
            <w:pPr>
              <w:rPr>
                <w:color w:val="000000"/>
                <w:sz w:val="24"/>
                <w:szCs w:val="24"/>
              </w:rPr>
            </w:pPr>
            <w:r>
              <w:rPr>
                <w:color w:val="000000"/>
              </w:rPr>
              <w:t>No blue colour with starch solution</w:t>
            </w:r>
          </w:p>
        </w:tc>
      </w:tr>
      <w:tr w:rsidR="000E46F8" w:rsidRPr="00B15DBD" w:rsidTr="00EC6DB8">
        <w:trPr>
          <w:trHeight w:val="193"/>
        </w:trPr>
        <w:tc>
          <w:tcPr>
            <w:tcW w:w="5488" w:type="dxa"/>
            <w:vMerge/>
          </w:tcPr>
          <w:p w:rsidR="000E46F8" w:rsidRPr="00B15DBD" w:rsidRDefault="000E46F8" w:rsidP="003C5972">
            <w:pPr>
              <w:rPr>
                <w:rFonts w:ascii="Calibri" w:hAnsi="Calibri"/>
                <w:b/>
              </w:rPr>
            </w:pPr>
          </w:p>
        </w:tc>
        <w:tc>
          <w:tcPr>
            <w:tcW w:w="236" w:type="dxa"/>
          </w:tcPr>
          <w:p w:rsidR="000E46F8" w:rsidRPr="00B15DBD" w:rsidRDefault="000E46F8">
            <w:pPr>
              <w:rPr>
                <w:rFonts w:ascii="Calibri" w:hAnsi="Calibri"/>
              </w:rPr>
            </w:pPr>
          </w:p>
        </w:tc>
        <w:tc>
          <w:tcPr>
            <w:tcW w:w="1961" w:type="dxa"/>
          </w:tcPr>
          <w:p w:rsidR="000E46F8" w:rsidRDefault="00B14E5C" w:rsidP="00B14E5C">
            <w:pPr>
              <w:rPr>
                <w:color w:val="000000"/>
                <w:sz w:val="24"/>
                <w:szCs w:val="24"/>
              </w:rPr>
            </w:pPr>
            <w:r>
              <w:rPr>
                <w:color w:val="000000"/>
              </w:rPr>
              <w:t>Assay (ODB</w:t>
            </w:r>
            <w:r w:rsidR="000E46F8">
              <w:rPr>
                <w:color w:val="000000"/>
              </w:rPr>
              <w:t xml:space="preserve">) </w:t>
            </w:r>
          </w:p>
        </w:tc>
        <w:tc>
          <w:tcPr>
            <w:tcW w:w="359" w:type="dxa"/>
          </w:tcPr>
          <w:p w:rsidR="000E46F8" w:rsidRPr="002E5EFE" w:rsidRDefault="000E46F8" w:rsidP="00D22B85">
            <w:pPr>
              <w:rPr>
                <w:rFonts w:ascii="Calibri" w:hAnsi="Calibri" w:cs="Arial"/>
              </w:rPr>
            </w:pPr>
            <w:r>
              <w:rPr>
                <w:rFonts w:ascii="Calibri" w:hAnsi="Calibri" w:cs="Arial"/>
              </w:rPr>
              <w:t>:</w:t>
            </w:r>
          </w:p>
        </w:tc>
        <w:tc>
          <w:tcPr>
            <w:tcW w:w="3296" w:type="dxa"/>
          </w:tcPr>
          <w:p w:rsidR="000E46F8" w:rsidRDefault="000E46F8">
            <w:pPr>
              <w:rPr>
                <w:color w:val="000000"/>
                <w:sz w:val="24"/>
                <w:szCs w:val="24"/>
              </w:rPr>
            </w:pPr>
            <w:r>
              <w:rPr>
                <w:color w:val="000000"/>
              </w:rPr>
              <w:t xml:space="preserve"> Not less than 43.0 % </w:t>
            </w:r>
          </w:p>
        </w:tc>
      </w:tr>
      <w:tr w:rsidR="00197BA4" w:rsidRPr="00B15DBD" w:rsidTr="00EC6DB8">
        <w:trPr>
          <w:trHeight w:val="80"/>
        </w:trPr>
        <w:tc>
          <w:tcPr>
            <w:tcW w:w="5488" w:type="dxa"/>
            <w:vMerge/>
          </w:tcPr>
          <w:p w:rsidR="00197BA4" w:rsidRPr="00B15DBD" w:rsidRDefault="00197BA4">
            <w:pPr>
              <w:rPr>
                <w:rFonts w:ascii="Calibri" w:hAnsi="Calibri"/>
              </w:rPr>
            </w:pPr>
          </w:p>
        </w:tc>
        <w:tc>
          <w:tcPr>
            <w:tcW w:w="236" w:type="dxa"/>
          </w:tcPr>
          <w:p w:rsidR="00197BA4" w:rsidRPr="00B15DBD" w:rsidRDefault="00197BA4">
            <w:pPr>
              <w:rPr>
                <w:rFonts w:ascii="Calibri" w:hAnsi="Calibri"/>
              </w:rPr>
            </w:pPr>
          </w:p>
        </w:tc>
        <w:tc>
          <w:tcPr>
            <w:tcW w:w="1961" w:type="dxa"/>
          </w:tcPr>
          <w:p w:rsidR="00197BA4" w:rsidRPr="002E5EFE" w:rsidRDefault="00722A49" w:rsidP="00D22B85">
            <w:pPr>
              <w:rPr>
                <w:rFonts w:ascii="Calibri" w:hAnsi="Calibri"/>
              </w:rPr>
            </w:pPr>
            <w:r w:rsidRPr="002E5EFE">
              <w:rPr>
                <w:rFonts w:ascii="Calibri" w:hAnsi="Calibri"/>
              </w:rPr>
              <w:t>HS Code</w:t>
            </w:r>
          </w:p>
        </w:tc>
        <w:tc>
          <w:tcPr>
            <w:tcW w:w="359" w:type="dxa"/>
          </w:tcPr>
          <w:p w:rsidR="00197BA4" w:rsidRPr="002E5EFE" w:rsidRDefault="00197BA4" w:rsidP="00D22B85">
            <w:pPr>
              <w:rPr>
                <w:rFonts w:ascii="Calibri" w:hAnsi="Calibri"/>
              </w:rPr>
            </w:pPr>
            <w:r w:rsidRPr="002E5EFE">
              <w:rPr>
                <w:rFonts w:ascii="Calibri" w:hAnsi="Calibri"/>
              </w:rPr>
              <w:t>:</w:t>
            </w:r>
          </w:p>
        </w:tc>
        <w:tc>
          <w:tcPr>
            <w:tcW w:w="3296" w:type="dxa"/>
          </w:tcPr>
          <w:p w:rsidR="00F45AA3" w:rsidRDefault="00F45AA3" w:rsidP="00F45AA3">
            <w:pPr>
              <w:rPr>
                <w:rFonts w:ascii="Arial" w:hAnsi="Arial" w:cs="Arial"/>
                <w:color w:val="000000"/>
                <w:sz w:val="24"/>
                <w:szCs w:val="24"/>
              </w:rPr>
            </w:pPr>
            <w:r>
              <w:rPr>
                <w:rFonts w:ascii="Arial" w:hAnsi="Arial" w:cs="Arial"/>
                <w:color w:val="000000"/>
              </w:rPr>
              <w:t>29071940</w:t>
            </w:r>
          </w:p>
          <w:p w:rsidR="00197BA4" w:rsidRPr="002E5EFE" w:rsidRDefault="00197BA4" w:rsidP="000F7181">
            <w:pPr>
              <w:rPr>
                <w:rFonts w:ascii="Calibri" w:hAnsi="Calibri"/>
                <w:color w:val="000000"/>
              </w:rPr>
            </w:pPr>
          </w:p>
        </w:tc>
      </w:tr>
      <w:tr w:rsidR="00197BA4" w:rsidRPr="00B15DBD" w:rsidTr="00EC6DB8">
        <w:trPr>
          <w:trHeight w:val="323"/>
        </w:trPr>
        <w:tc>
          <w:tcPr>
            <w:tcW w:w="11340" w:type="dxa"/>
            <w:gridSpan w:val="5"/>
          </w:tcPr>
          <w:p w:rsidR="00197BA4" w:rsidRPr="00B15DBD" w:rsidRDefault="00197BA4" w:rsidP="004D7BF6">
            <w:pPr>
              <w:rPr>
                <w:rFonts w:ascii="Calibri" w:hAnsi="Calibri"/>
              </w:rPr>
            </w:pPr>
            <w:r w:rsidRPr="00B15DBD">
              <w:rPr>
                <w:rFonts w:ascii="Calibri" w:hAnsi="Calibri"/>
                <w:b/>
              </w:rPr>
              <w:t xml:space="preserve">Packing:  </w:t>
            </w:r>
            <w:r w:rsidR="004D7BF6" w:rsidRPr="00B15DBD">
              <w:rPr>
                <w:rFonts w:ascii="Calibri" w:hAnsi="Calibri" w:cs="Arial"/>
                <w:color w:val="000000"/>
              </w:rPr>
              <w:t>Net weight: 25 Kg with a tolerance of ± 0,02 Kg.</w:t>
            </w:r>
            <w:r w:rsidR="004D7BF6" w:rsidRPr="00B15DBD">
              <w:rPr>
                <w:rFonts w:ascii="Calibri" w:hAnsi="Calibri" w:cs="Arial"/>
                <w:color w:val="000000"/>
              </w:rPr>
              <w:br/>
              <w:t xml:space="preserve">                  Inside packing: double plastic </w:t>
            </w:r>
            <w:r w:rsidR="002B74F9">
              <w:rPr>
                <w:rFonts w:ascii="Calibri" w:hAnsi="Calibri" w:cs="Arial"/>
                <w:color w:val="000000"/>
              </w:rPr>
              <w:t xml:space="preserve">black </w:t>
            </w:r>
            <w:r w:rsidR="004D7BF6" w:rsidRPr="00B15DBD">
              <w:rPr>
                <w:rFonts w:ascii="Calibri" w:hAnsi="Calibri" w:cs="Arial"/>
                <w:color w:val="000000"/>
              </w:rPr>
              <w:t>bag</w:t>
            </w:r>
            <w:r w:rsidR="004D7BF6" w:rsidRPr="00B15DBD">
              <w:rPr>
                <w:rFonts w:ascii="Calibri" w:hAnsi="Calibri" w:cs="Arial"/>
                <w:color w:val="000000"/>
              </w:rPr>
              <w:br/>
              <w:t xml:space="preserve">                  Outside packing: </w:t>
            </w:r>
            <w:r w:rsidR="003902F4">
              <w:rPr>
                <w:rFonts w:ascii="Calibri" w:hAnsi="Calibri" w:cs="Arial"/>
                <w:color w:val="000000"/>
              </w:rPr>
              <w:t>FIBER/</w:t>
            </w:r>
            <w:r w:rsidR="004D7BF6" w:rsidRPr="00B15DBD">
              <w:rPr>
                <w:rFonts w:ascii="Calibri" w:hAnsi="Calibri" w:cs="Arial"/>
                <w:color w:val="000000"/>
              </w:rPr>
              <w:t>HDPE box</w:t>
            </w:r>
            <w:r w:rsidRPr="00B15DBD">
              <w:rPr>
                <w:rFonts w:ascii="Calibri" w:hAnsi="Calibri"/>
              </w:rPr>
              <w:t>.</w:t>
            </w:r>
          </w:p>
        </w:tc>
      </w:tr>
      <w:tr w:rsidR="00197BA4" w:rsidRPr="00B15DBD" w:rsidTr="00EC6DB8">
        <w:trPr>
          <w:trHeight w:val="530"/>
        </w:trPr>
        <w:tc>
          <w:tcPr>
            <w:tcW w:w="11340" w:type="dxa"/>
            <w:gridSpan w:val="5"/>
          </w:tcPr>
          <w:p w:rsidR="003A1B72" w:rsidRDefault="00197BA4" w:rsidP="003A1B72">
            <w:pPr>
              <w:jc w:val="both"/>
            </w:pPr>
            <w:r w:rsidRPr="00B15DBD">
              <w:rPr>
                <w:rFonts w:ascii="Calibri" w:hAnsi="Calibri"/>
                <w:b/>
              </w:rPr>
              <w:t xml:space="preserve">Storage :  </w:t>
            </w:r>
            <w:r w:rsidR="003A1B72">
              <w:t>Keep container dry. Keep in a cool place. Ground all equipment containing material. Corrosive materials should be stored in a separate safety storage cabinet or room.</w:t>
            </w:r>
          </w:p>
          <w:p w:rsidR="00F82DA4" w:rsidRPr="00B15DBD" w:rsidRDefault="00F82DA4" w:rsidP="000F7181">
            <w:pPr>
              <w:jc w:val="both"/>
              <w:rPr>
                <w:rFonts w:ascii="Calibri" w:hAnsi="Calibri"/>
                <w:sz w:val="2"/>
              </w:rPr>
            </w:pPr>
          </w:p>
        </w:tc>
      </w:tr>
      <w:tr w:rsidR="00197BA4" w:rsidRPr="00B15DBD" w:rsidTr="00EC6DB8">
        <w:trPr>
          <w:trHeight w:val="341"/>
        </w:trPr>
        <w:tc>
          <w:tcPr>
            <w:tcW w:w="11340" w:type="dxa"/>
            <w:gridSpan w:val="5"/>
          </w:tcPr>
          <w:p w:rsidR="00062D11" w:rsidRDefault="00197BA4" w:rsidP="00062D11">
            <w:pPr>
              <w:rPr>
                <w:rFonts w:ascii="Calibri" w:hAnsi="Calibri"/>
              </w:rPr>
            </w:pPr>
            <w:r w:rsidRPr="00B15DBD">
              <w:rPr>
                <w:rFonts w:ascii="Calibri" w:hAnsi="Calibri"/>
                <w:b/>
              </w:rPr>
              <w:t xml:space="preserve">Transportation: </w:t>
            </w:r>
            <w:r w:rsidR="00062D11" w:rsidRPr="00F82522">
              <w:rPr>
                <w:rFonts w:ascii="Calibri" w:hAnsi="Calibri"/>
              </w:rPr>
              <w:t>Not classified as dangerous goods.</w:t>
            </w:r>
          </w:p>
          <w:p w:rsidR="00197BA4" w:rsidRPr="00B15DBD" w:rsidRDefault="00197BA4" w:rsidP="00062D11">
            <w:pPr>
              <w:rPr>
                <w:rFonts w:ascii="Calibri" w:hAnsi="Calibri"/>
              </w:rPr>
            </w:pPr>
          </w:p>
        </w:tc>
      </w:tr>
      <w:tr w:rsidR="00197BA4" w:rsidRPr="00B15DBD" w:rsidTr="00EC6DB8">
        <w:tc>
          <w:tcPr>
            <w:tcW w:w="11340" w:type="dxa"/>
            <w:gridSpan w:val="5"/>
          </w:tcPr>
          <w:p w:rsidR="00197BA4" w:rsidRPr="00B15DBD" w:rsidRDefault="00197BA4" w:rsidP="00620A18">
            <w:pPr>
              <w:rPr>
                <w:rFonts w:ascii="Calibri" w:hAnsi="Calibri" w:cs="Gotham Book"/>
                <w:color w:val="000000"/>
                <w:sz w:val="2"/>
              </w:rPr>
            </w:pPr>
          </w:p>
          <w:p w:rsidR="00197BA4" w:rsidRPr="00B15DBD" w:rsidRDefault="00197BA4" w:rsidP="00620A18">
            <w:pPr>
              <w:rPr>
                <w:rStyle w:val="A2"/>
                <w:rFonts w:ascii="Calibri" w:hAnsi="Calibri"/>
                <w:sz w:val="22"/>
                <w:szCs w:val="22"/>
              </w:rPr>
            </w:pPr>
            <w:r w:rsidRPr="00B15DBD">
              <w:rPr>
                <w:rStyle w:val="A2"/>
                <w:rFonts w:ascii="Calibri" w:hAnsi="Calibri"/>
                <w:sz w:val="22"/>
                <w:szCs w:val="22"/>
              </w:rPr>
              <w:t>While the descriptions, designs, data and information contained herein are presented in good faith and believed to be accurate, it is provided for your guidance only. Because many factors may affect processing or application/use, we recommend that you make tests to determine the suitability of a product for your particular purpose prior to use. This information is based on our present state of knowledge and is intended to provide general notes on our products and their</w:t>
            </w:r>
          </w:p>
          <w:p w:rsidR="00197BA4" w:rsidRPr="00B15DBD" w:rsidRDefault="00197BA4" w:rsidP="00620A18">
            <w:pPr>
              <w:rPr>
                <w:rFonts w:ascii="Calibri" w:hAnsi="Calibri"/>
              </w:rPr>
            </w:pPr>
            <w:r w:rsidRPr="00B15DBD">
              <w:rPr>
                <w:rStyle w:val="A2"/>
                <w:rFonts w:ascii="Calibri" w:hAnsi="Calibri"/>
                <w:sz w:val="22"/>
                <w:szCs w:val="22"/>
              </w:rPr>
              <w:t xml:space="preserve"> uses. It should not therefore be construed as guaranteeing specific properties of the products described or their suitability for a particular application. Any existing industrial property rights must be observed. The quality of our products is guaranteed under our General Conditions of Sale.</w:t>
            </w:r>
          </w:p>
        </w:tc>
      </w:tr>
    </w:tbl>
    <w:p w:rsidR="00D114A5" w:rsidRPr="00B15DBD" w:rsidRDefault="00D114A5" w:rsidP="00D114A5">
      <w:pPr>
        <w:pStyle w:val="Footer"/>
        <w:rPr>
          <w:rFonts w:ascii="Calibri" w:hAnsi="Calibri"/>
        </w:rPr>
      </w:pPr>
    </w:p>
    <w:p w:rsidR="00CA0AF9" w:rsidRPr="00B15DBD" w:rsidRDefault="00CA0AF9" w:rsidP="00D114A5">
      <w:pPr>
        <w:pStyle w:val="Footer"/>
        <w:rPr>
          <w:rFonts w:ascii="Calibri" w:hAnsi="Calibri" w:cs="Tahoma"/>
          <w:sz w:val="18"/>
          <w:szCs w:val="18"/>
        </w:rPr>
      </w:pPr>
      <w:r w:rsidRPr="00B15DBD">
        <w:rPr>
          <w:rFonts w:ascii="Calibri" w:hAnsi="Calibri" w:cs="Tahoma"/>
          <w:sz w:val="18"/>
          <w:szCs w:val="18"/>
        </w:rPr>
        <w:t>Factory :E-121,MIDC- Tarapur , Boisar-401506. Dist –Thane, Maharashtra India. Ph:+91-2525-645710,661283</w:t>
      </w:r>
    </w:p>
    <w:p w:rsidR="00CA0AF9" w:rsidRPr="00B15DBD" w:rsidRDefault="00CA0AF9" w:rsidP="00CA0AF9">
      <w:pPr>
        <w:pStyle w:val="Footer"/>
        <w:ind w:hanging="1170"/>
        <w:jc w:val="center"/>
        <w:rPr>
          <w:rFonts w:ascii="Calibri" w:hAnsi="Calibri" w:cs="Tahoma"/>
          <w:sz w:val="18"/>
          <w:szCs w:val="18"/>
        </w:rPr>
      </w:pPr>
      <w:r w:rsidRPr="00B15DBD">
        <w:rPr>
          <w:rFonts w:ascii="Calibri" w:hAnsi="Calibri" w:cs="Tahoma"/>
          <w:sz w:val="18"/>
          <w:szCs w:val="18"/>
        </w:rPr>
        <w:t>Office:403, Vstar Plaza, Chandavarker Lane, Borivli(W), Mumbai-91. Maharashtra .India. Ph:+91-22-28909933 ,28909944,657783</w:t>
      </w:r>
    </w:p>
    <w:p w:rsidR="00CA0AF9" w:rsidRPr="00B15DBD" w:rsidRDefault="00CA0AF9" w:rsidP="00CA0AF9">
      <w:pPr>
        <w:pStyle w:val="Footer"/>
        <w:ind w:hanging="1170"/>
        <w:jc w:val="center"/>
        <w:rPr>
          <w:rFonts w:ascii="Calibri" w:hAnsi="Calibri" w:cs="Tahoma"/>
          <w:sz w:val="18"/>
          <w:szCs w:val="18"/>
        </w:rPr>
      </w:pPr>
      <w:r w:rsidRPr="00B15DBD">
        <w:rPr>
          <w:rFonts w:ascii="Calibri" w:hAnsi="Calibri" w:cs="Tahoma"/>
          <w:sz w:val="18"/>
          <w:szCs w:val="18"/>
        </w:rPr>
        <w:t xml:space="preserve">Email: </w:t>
      </w:r>
      <w:hyperlink r:id="rId9" w:history="1">
        <w:r w:rsidRPr="00B15DBD">
          <w:rPr>
            <w:rStyle w:val="Hyperlink"/>
            <w:rFonts w:ascii="Calibri" w:hAnsi="Calibri" w:cs="Tahoma"/>
            <w:sz w:val="18"/>
            <w:szCs w:val="18"/>
          </w:rPr>
          <w:t>info@protochem.com</w:t>
        </w:r>
      </w:hyperlink>
      <w:r w:rsidRPr="00B15DBD">
        <w:rPr>
          <w:rFonts w:ascii="Calibri" w:hAnsi="Calibri" w:cs="Tahoma"/>
          <w:sz w:val="18"/>
          <w:szCs w:val="18"/>
        </w:rPr>
        <w:t xml:space="preserve"> </w:t>
      </w:r>
      <w:hyperlink r:id="rId10" w:history="1">
        <w:r w:rsidRPr="00B15DBD">
          <w:rPr>
            <w:rStyle w:val="Hyperlink"/>
            <w:rFonts w:ascii="Calibri" w:hAnsi="Calibri" w:cs="Tahoma"/>
            <w:sz w:val="18"/>
            <w:szCs w:val="18"/>
          </w:rPr>
          <w:t>/proto_ind@yahoo.com</w:t>
        </w:r>
      </w:hyperlink>
      <w:r w:rsidRPr="00B15DBD">
        <w:rPr>
          <w:rFonts w:ascii="Calibri" w:hAnsi="Calibri" w:cs="Tahoma"/>
          <w:sz w:val="18"/>
          <w:szCs w:val="18"/>
        </w:rPr>
        <w:t xml:space="preserve">    Web: www.protochem.com</w:t>
      </w:r>
    </w:p>
    <w:p w:rsidR="00CA0AF9" w:rsidRPr="00B15DBD" w:rsidRDefault="00CA0AF9" w:rsidP="00CA0AF9">
      <w:pPr>
        <w:pStyle w:val="Footer"/>
        <w:ind w:hanging="1170"/>
        <w:jc w:val="center"/>
        <w:rPr>
          <w:rFonts w:ascii="Calibri" w:hAnsi="Calibri" w:cs="Tahoma"/>
          <w:sz w:val="18"/>
          <w:szCs w:val="18"/>
        </w:rPr>
      </w:pPr>
    </w:p>
    <w:p w:rsidR="00CA0AF9" w:rsidRPr="00B15DBD" w:rsidRDefault="00CA0AF9">
      <w:pPr>
        <w:rPr>
          <w:rFonts w:ascii="Calibri" w:hAnsi="Calibri"/>
        </w:rPr>
      </w:pPr>
    </w:p>
    <w:sectPr w:rsidR="00CA0AF9" w:rsidRPr="00B15DBD" w:rsidSect="002F2ED9">
      <w:footerReference w:type="default" r:id="rId11"/>
      <w:pgSz w:w="12240" w:h="15840"/>
      <w:pgMar w:top="180" w:right="1440" w:bottom="0" w:left="144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B5D" w:rsidRDefault="00AE6B5D" w:rsidP="00300C34">
      <w:pPr>
        <w:spacing w:after="0" w:line="240" w:lineRule="auto"/>
      </w:pPr>
      <w:r>
        <w:separator/>
      </w:r>
    </w:p>
  </w:endnote>
  <w:endnote w:type="continuationSeparator" w:id="1">
    <w:p w:rsidR="00AE6B5D" w:rsidRDefault="00AE6B5D" w:rsidP="0030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439"/>
      <w:docPartObj>
        <w:docPartGallery w:val="Page Numbers (Bottom of Page)"/>
        <w:docPartUnique/>
      </w:docPartObj>
    </w:sdtPr>
    <w:sdtContent>
      <w:sdt>
        <w:sdtPr>
          <w:id w:val="565050523"/>
          <w:docPartObj>
            <w:docPartGallery w:val="Page Numbers (Top of Page)"/>
            <w:docPartUnique/>
          </w:docPartObj>
        </w:sdtPr>
        <w:sdtContent>
          <w:p w:rsidR="00D65DE4" w:rsidRDefault="00D65DE4">
            <w:pPr>
              <w:pStyle w:val="Footer"/>
              <w:jc w:val="right"/>
            </w:pPr>
            <w:r>
              <w:t xml:space="preserve">Page </w:t>
            </w:r>
            <w:r w:rsidR="00F23333">
              <w:rPr>
                <w:b/>
                <w:sz w:val="24"/>
                <w:szCs w:val="24"/>
              </w:rPr>
              <w:fldChar w:fldCharType="begin"/>
            </w:r>
            <w:r>
              <w:rPr>
                <w:b/>
              </w:rPr>
              <w:instrText xml:space="preserve"> PAGE </w:instrText>
            </w:r>
            <w:r w:rsidR="00F23333">
              <w:rPr>
                <w:b/>
                <w:sz w:val="24"/>
                <w:szCs w:val="24"/>
              </w:rPr>
              <w:fldChar w:fldCharType="separate"/>
            </w:r>
            <w:r w:rsidR="00D01519">
              <w:rPr>
                <w:b/>
                <w:noProof/>
              </w:rPr>
              <w:t>1</w:t>
            </w:r>
            <w:r w:rsidR="00F23333">
              <w:rPr>
                <w:b/>
                <w:sz w:val="24"/>
                <w:szCs w:val="24"/>
              </w:rPr>
              <w:fldChar w:fldCharType="end"/>
            </w:r>
            <w:r>
              <w:t xml:space="preserve"> of </w:t>
            </w:r>
            <w:r w:rsidR="00D114A5">
              <w:rPr>
                <w:b/>
                <w:sz w:val="24"/>
                <w:szCs w:val="24"/>
              </w:rPr>
              <w:t>1</w:t>
            </w:r>
          </w:p>
        </w:sdtContent>
      </w:sdt>
    </w:sdtContent>
  </w:sdt>
  <w:p w:rsidR="00393E02" w:rsidRPr="00D65DE4" w:rsidRDefault="00393E02" w:rsidP="00D65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B5D" w:rsidRDefault="00AE6B5D" w:rsidP="00300C34">
      <w:pPr>
        <w:spacing w:after="0" w:line="240" w:lineRule="auto"/>
      </w:pPr>
      <w:r>
        <w:separator/>
      </w:r>
    </w:p>
  </w:footnote>
  <w:footnote w:type="continuationSeparator" w:id="1">
    <w:p w:rsidR="00AE6B5D" w:rsidRDefault="00AE6B5D" w:rsidP="00300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D76"/>
    <w:multiLevelType w:val="hybridMultilevel"/>
    <w:tmpl w:val="016C0F68"/>
    <w:lvl w:ilvl="0" w:tplc="5CE2CC76">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6300D30"/>
    <w:multiLevelType w:val="hybridMultilevel"/>
    <w:tmpl w:val="1E3097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1340F"/>
    <w:multiLevelType w:val="hybridMultilevel"/>
    <w:tmpl w:val="D31C5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7D15"/>
    <w:multiLevelType w:val="hybridMultilevel"/>
    <w:tmpl w:val="F70E5F12"/>
    <w:lvl w:ilvl="0" w:tplc="CAEA01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21CDF"/>
    <w:multiLevelType w:val="hybridMultilevel"/>
    <w:tmpl w:val="B3E02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A4B0D"/>
    <w:multiLevelType w:val="multilevel"/>
    <w:tmpl w:val="F6B8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E71B3"/>
    <w:multiLevelType w:val="hybridMultilevel"/>
    <w:tmpl w:val="BF0EEFCA"/>
    <w:lvl w:ilvl="0" w:tplc="D6F6205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BE2E0A"/>
    <w:multiLevelType w:val="hybridMultilevel"/>
    <w:tmpl w:val="C4241D1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6ECC5544"/>
    <w:multiLevelType w:val="hybridMultilevel"/>
    <w:tmpl w:val="D5D26D5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9CB3D20"/>
    <w:multiLevelType w:val="hybridMultilevel"/>
    <w:tmpl w:val="87F65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0C34"/>
    <w:rsid w:val="00007BE3"/>
    <w:rsid w:val="0002254C"/>
    <w:rsid w:val="000230C9"/>
    <w:rsid w:val="00025A03"/>
    <w:rsid w:val="00025D50"/>
    <w:rsid w:val="00032F6D"/>
    <w:rsid w:val="00034496"/>
    <w:rsid w:val="00045CC4"/>
    <w:rsid w:val="0005192D"/>
    <w:rsid w:val="00056116"/>
    <w:rsid w:val="00062D11"/>
    <w:rsid w:val="0006646B"/>
    <w:rsid w:val="00073DD4"/>
    <w:rsid w:val="00076154"/>
    <w:rsid w:val="000875EE"/>
    <w:rsid w:val="0009623D"/>
    <w:rsid w:val="000B1E40"/>
    <w:rsid w:val="000B31D7"/>
    <w:rsid w:val="000C0DCC"/>
    <w:rsid w:val="000C5D7D"/>
    <w:rsid w:val="000E0C1F"/>
    <w:rsid w:val="000E46F8"/>
    <w:rsid w:val="000F029F"/>
    <w:rsid w:val="000F7181"/>
    <w:rsid w:val="00106975"/>
    <w:rsid w:val="00111EB4"/>
    <w:rsid w:val="001151D0"/>
    <w:rsid w:val="001245D0"/>
    <w:rsid w:val="0012736E"/>
    <w:rsid w:val="00131756"/>
    <w:rsid w:val="00137C32"/>
    <w:rsid w:val="001457EB"/>
    <w:rsid w:val="00146907"/>
    <w:rsid w:val="00160F07"/>
    <w:rsid w:val="0016676C"/>
    <w:rsid w:val="001958C9"/>
    <w:rsid w:val="00197762"/>
    <w:rsid w:val="00197BA4"/>
    <w:rsid w:val="001A039F"/>
    <w:rsid w:val="001E08AF"/>
    <w:rsid w:val="001E23AF"/>
    <w:rsid w:val="001E6DBA"/>
    <w:rsid w:val="001F3A77"/>
    <w:rsid w:val="001F49FE"/>
    <w:rsid w:val="0020624F"/>
    <w:rsid w:val="002148B0"/>
    <w:rsid w:val="002213B2"/>
    <w:rsid w:val="002264B8"/>
    <w:rsid w:val="00246573"/>
    <w:rsid w:val="00255655"/>
    <w:rsid w:val="00272F95"/>
    <w:rsid w:val="002768D9"/>
    <w:rsid w:val="00291917"/>
    <w:rsid w:val="00291AC2"/>
    <w:rsid w:val="002A39F9"/>
    <w:rsid w:val="002B74F9"/>
    <w:rsid w:val="002C2C20"/>
    <w:rsid w:val="002D6D25"/>
    <w:rsid w:val="002E5EFE"/>
    <w:rsid w:val="002F2735"/>
    <w:rsid w:val="002F2ED9"/>
    <w:rsid w:val="00300C34"/>
    <w:rsid w:val="0032091A"/>
    <w:rsid w:val="00321FD2"/>
    <w:rsid w:val="00343F06"/>
    <w:rsid w:val="00352181"/>
    <w:rsid w:val="00362415"/>
    <w:rsid w:val="003626E4"/>
    <w:rsid w:val="00364C04"/>
    <w:rsid w:val="00366C4D"/>
    <w:rsid w:val="0037769A"/>
    <w:rsid w:val="00377D8F"/>
    <w:rsid w:val="003873B2"/>
    <w:rsid w:val="003902F4"/>
    <w:rsid w:val="00393E02"/>
    <w:rsid w:val="003A1B72"/>
    <w:rsid w:val="003A2975"/>
    <w:rsid w:val="003A7A6E"/>
    <w:rsid w:val="003B077F"/>
    <w:rsid w:val="003B1A05"/>
    <w:rsid w:val="003C06B9"/>
    <w:rsid w:val="003C0F7A"/>
    <w:rsid w:val="003C5972"/>
    <w:rsid w:val="003C68E2"/>
    <w:rsid w:val="003D56BE"/>
    <w:rsid w:val="003D756D"/>
    <w:rsid w:val="003E0487"/>
    <w:rsid w:val="003E1A68"/>
    <w:rsid w:val="003E3D0C"/>
    <w:rsid w:val="003E5BE4"/>
    <w:rsid w:val="003F1146"/>
    <w:rsid w:val="00400544"/>
    <w:rsid w:val="00407578"/>
    <w:rsid w:val="00410B34"/>
    <w:rsid w:val="004134F1"/>
    <w:rsid w:val="00434DBB"/>
    <w:rsid w:val="004373DD"/>
    <w:rsid w:val="0045240D"/>
    <w:rsid w:val="00461544"/>
    <w:rsid w:val="004717EE"/>
    <w:rsid w:val="00484D95"/>
    <w:rsid w:val="00495644"/>
    <w:rsid w:val="00497E37"/>
    <w:rsid w:val="004A3069"/>
    <w:rsid w:val="004A618B"/>
    <w:rsid w:val="004C1D65"/>
    <w:rsid w:val="004C6DEE"/>
    <w:rsid w:val="004C75AD"/>
    <w:rsid w:val="004D14F6"/>
    <w:rsid w:val="004D7BF6"/>
    <w:rsid w:val="004E1CDC"/>
    <w:rsid w:val="004E2166"/>
    <w:rsid w:val="0050597F"/>
    <w:rsid w:val="00511D4B"/>
    <w:rsid w:val="0051306E"/>
    <w:rsid w:val="00544507"/>
    <w:rsid w:val="0055387F"/>
    <w:rsid w:val="00555A4A"/>
    <w:rsid w:val="00564BAE"/>
    <w:rsid w:val="00586A10"/>
    <w:rsid w:val="0059710B"/>
    <w:rsid w:val="005A7D86"/>
    <w:rsid w:val="005C2527"/>
    <w:rsid w:val="005E7EBA"/>
    <w:rsid w:val="005F0B52"/>
    <w:rsid w:val="006002F6"/>
    <w:rsid w:val="00601C2C"/>
    <w:rsid w:val="00620A18"/>
    <w:rsid w:val="00625F10"/>
    <w:rsid w:val="00634F02"/>
    <w:rsid w:val="006547C8"/>
    <w:rsid w:val="00672522"/>
    <w:rsid w:val="0068645E"/>
    <w:rsid w:val="00691D25"/>
    <w:rsid w:val="00696540"/>
    <w:rsid w:val="006A4752"/>
    <w:rsid w:val="006A7F5F"/>
    <w:rsid w:val="006B0859"/>
    <w:rsid w:val="006B1F52"/>
    <w:rsid w:val="006C2092"/>
    <w:rsid w:val="006D76B6"/>
    <w:rsid w:val="006E1F7A"/>
    <w:rsid w:val="006E2EB9"/>
    <w:rsid w:val="006F1B37"/>
    <w:rsid w:val="006F2C0F"/>
    <w:rsid w:val="0071220A"/>
    <w:rsid w:val="00716CDD"/>
    <w:rsid w:val="00721858"/>
    <w:rsid w:val="00722A49"/>
    <w:rsid w:val="00725397"/>
    <w:rsid w:val="007355AB"/>
    <w:rsid w:val="0074042E"/>
    <w:rsid w:val="00742AE5"/>
    <w:rsid w:val="00772056"/>
    <w:rsid w:val="00775245"/>
    <w:rsid w:val="007935C0"/>
    <w:rsid w:val="0079496B"/>
    <w:rsid w:val="007A2B30"/>
    <w:rsid w:val="007A3010"/>
    <w:rsid w:val="007A4D7B"/>
    <w:rsid w:val="007B49C1"/>
    <w:rsid w:val="007C2F25"/>
    <w:rsid w:val="007C30AF"/>
    <w:rsid w:val="007C63EF"/>
    <w:rsid w:val="007E0C2E"/>
    <w:rsid w:val="007E491A"/>
    <w:rsid w:val="007E5030"/>
    <w:rsid w:val="007F681A"/>
    <w:rsid w:val="00802F6E"/>
    <w:rsid w:val="00812454"/>
    <w:rsid w:val="008233E3"/>
    <w:rsid w:val="00836221"/>
    <w:rsid w:val="0085124F"/>
    <w:rsid w:val="00852347"/>
    <w:rsid w:val="008545A0"/>
    <w:rsid w:val="008604B4"/>
    <w:rsid w:val="008616F4"/>
    <w:rsid w:val="008A6E7D"/>
    <w:rsid w:val="008B138C"/>
    <w:rsid w:val="008B1882"/>
    <w:rsid w:val="008B6982"/>
    <w:rsid w:val="008B7271"/>
    <w:rsid w:val="008C074D"/>
    <w:rsid w:val="008C5E5F"/>
    <w:rsid w:val="008D2B86"/>
    <w:rsid w:val="008D68D1"/>
    <w:rsid w:val="008F410D"/>
    <w:rsid w:val="008F56EC"/>
    <w:rsid w:val="008F69E4"/>
    <w:rsid w:val="008F6D5D"/>
    <w:rsid w:val="0091218A"/>
    <w:rsid w:val="00916305"/>
    <w:rsid w:val="00916A01"/>
    <w:rsid w:val="0092388A"/>
    <w:rsid w:val="00944CC9"/>
    <w:rsid w:val="00947481"/>
    <w:rsid w:val="009514F7"/>
    <w:rsid w:val="009843E3"/>
    <w:rsid w:val="009B56EC"/>
    <w:rsid w:val="009D28B2"/>
    <w:rsid w:val="009E1CD3"/>
    <w:rsid w:val="009E4CDB"/>
    <w:rsid w:val="009E5AE1"/>
    <w:rsid w:val="00A42AC0"/>
    <w:rsid w:val="00A43155"/>
    <w:rsid w:val="00A55D7E"/>
    <w:rsid w:val="00A576C0"/>
    <w:rsid w:val="00A60223"/>
    <w:rsid w:val="00A80527"/>
    <w:rsid w:val="00AD5A91"/>
    <w:rsid w:val="00AE6B5D"/>
    <w:rsid w:val="00B04606"/>
    <w:rsid w:val="00B11A4E"/>
    <w:rsid w:val="00B14E5C"/>
    <w:rsid w:val="00B15DBD"/>
    <w:rsid w:val="00B21284"/>
    <w:rsid w:val="00B342E2"/>
    <w:rsid w:val="00B44C6A"/>
    <w:rsid w:val="00B475C6"/>
    <w:rsid w:val="00B536A0"/>
    <w:rsid w:val="00B679D8"/>
    <w:rsid w:val="00BA1769"/>
    <w:rsid w:val="00BB0A23"/>
    <w:rsid w:val="00BB5E6E"/>
    <w:rsid w:val="00BC2BFA"/>
    <w:rsid w:val="00BE2484"/>
    <w:rsid w:val="00BE31FB"/>
    <w:rsid w:val="00BE7AA8"/>
    <w:rsid w:val="00C2423B"/>
    <w:rsid w:val="00C30E46"/>
    <w:rsid w:val="00C55CF0"/>
    <w:rsid w:val="00C6555D"/>
    <w:rsid w:val="00C773FE"/>
    <w:rsid w:val="00C90948"/>
    <w:rsid w:val="00CA0AF9"/>
    <w:rsid w:val="00CA1BBF"/>
    <w:rsid w:val="00CA5EED"/>
    <w:rsid w:val="00CD24C8"/>
    <w:rsid w:val="00CD6E1E"/>
    <w:rsid w:val="00CF508F"/>
    <w:rsid w:val="00D01519"/>
    <w:rsid w:val="00D06FC0"/>
    <w:rsid w:val="00D114A5"/>
    <w:rsid w:val="00D16E21"/>
    <w:rsid w:val="00D3520F"/>
    <w:rsid w:val="00D46EDC"/>
    <w:rsid w:val="00D50104"/>
    <w:rsid w:val="00D51A16"/>
    <w:rsid w:val="00D607F4"/>
    <w:rsid w:val="00D62C69"/>
    <w:rsid w:val="00D65DE4"/>
    <w:rsid w:val="00D91373"/>
    <w:rsid w:val="00D96CF5"/>
    <w:rsid w:val="00DA0727"/>
    <w:rsid w:val="00DA274F"/>
    <w:rsid w:val="00DB12BA"/>
    <w:rsid w:val="00DB4C38"/>
    <w:rsid w:val="00DB722D"/>
    <w:rsid w:val="00DB732E"/>
    <w:rsid w:val="00DE272E"/>
    <w:rsid w:val="00DF4869"/>
    <w:rsid w:val="00E0227C"/>
    <w:rsid w:val="00E03CB6"/>
    <w:rsid w:val="00E05E1A"/>
    <w:rsid w:val="00E3002A"/>
    <w:rsid w:val="00E43610"/>
    <w:rsid w:val="00E6460C"/>
    <w:rsid w:val="00E74AB6"/>
    <w:rsid w:val="00E75295"/>
    <w:rsid w:val="00E801F4"/>
    <w:rsid w:val="00E95136"/>
    <w:rsid w:val="00EC5237"/>
    <w:rsid w:val="00EC6DB8"/>
    <w:rsid w:val="00EC7449"/>
    <w:rsid w:val="00ED1417"/>
    <w:rsid w:val="00EF21CB"/>
    <w:rsid w:val="00EF2556"/>
    <w:rsid w:val="00F04876"/>
    <w:rsid w:val="00F14845"/>
    <w:rsid w:val="00F23333"/>
    <w:rsid w:val="00F302C5"/>
    <w:rsid w:val="00F30FFF"/>
    <w:rsid w:val="00F35C6A"/>
    <w:rsid w:val="00F36922"/>
    <w:rsid w:val="00F45AA3"/>
    <w:rsid w:val="00F504FB"/>
    <w:rsid w:val="00F54ED5"/>
    <w:rsid w:val="00F7288F"/>
    <w:rsid w:val="00F80056"/>
    <w:rsid w:val="00F82522"/>
    <w:rsid w:val="00F82DA4"/>
    <w:rsid w:val="00FA4366"/>
    <w:rsid w:val="00FE5437"/>
    <w:rsid w:val="00FE6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34"/>
  </w:style>
  <w:style w:type="paragraph" w:styleId="Footer">
    <w:name w:val="footer"/>
    <w:basedOn w:val="Normal"/>
    <w:link w:val="FooterChar"/>
    <w:uiPriority w:val="99"/>
    <w:unhideWhenUsed/>
    <w:rsid w:val="0030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34"/>
  </w:style>
  <w:style w:type="paragraph" w:styleId="BalloonText">
    <w:name w:val="Balloon Text"/>
    <w:basedOn w:val="Normal"/>
    <w:link w:val="BalloonTextChar"/>
    <w:unhideWhenUsed/>
    <w:rsid w:val="0030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0C34"/>
    <w:rPr>
      <w:rFonts w:ascii="Tahoma" w:hAnsi="Tahoma" w:cs="Tahoma"/>
      <w:sz w:val="16"/>
      <w:szCs w:val="16"/>
    </w:rPr>
  </w:style>
  <w:style w:type="paragraph" w:styleId="ListParagraph">
    <w:name w:val="List Paragraph"/>
    <w:basedOn w:val="Normal"/>
    <w:uiPriority w:val="34"/>
    <w:qFormat/>
    <w:rsid w:val="004134F1"/>
    <w:pPr>
      <w:ind w:left="720"/>
      <w:contextualSpacing/>
    </w:pPr>
  </w:style>
  <w:style w:type="paragraph" w:customStyle="1" w:styleId="Default">
    <w:name w:val="Default"/>
    <w:rsid w:val="00620A18"/>
    <w:pPr>
      <w:autoSpaceDE w:val="0"/>
      <w:autoSpaceDN w:val="0"/>
      <w:adjustRightInd w:val="0"/>
      <w:spacing w:after="0" w:line="240" w:lineRule="auto"/>
    </w:pPr>
    <w:rPr>
      <w:rFonts w:ascii="Gotham Book" w:hAnsi="Gotham Book" w:cs="Gotham Book"/>
      <w:color w:val="000000"/>
      <w:sz w:val="24"/>
      <w:szCs w:val="24"/>
    </w:rPr>
  </w:style>
  <w:style w:type="character" w:customStyle="1" w:styleId="A2">
    <w:name w:val="A2"/>
    <w:uiPriority w:val="99"/>
    <w:rsid w:val="00620A18"/>
    <w:rPr>
      <w:rFonts w:cs="Gotham Book"/>
      <w:color w:val="000000"/>
      <w:sz w:val="18"/>
      <w:szCs w:val="18"/>
    </w:rPr>
  </w:style>
  <w:style w:type="character" w:styleId="Hyperlink">
    <w:name w:val="Hyperlink"/>
    <w:basedOn w:val="DefaultParagraphFont"/>
    <w:rsid w:val="000875EE"/>
    <w:rPr>
      <w:color w:val="0000FF"/>
      <w:u w:val="single"/>
    </w:rPr>
  </w:style>
  <w:style w:type="paragraph" w:styleId="NormalWeb">
    <w:name w:val="Normal (Web)"/>
    <w:basedOn w:val="Normal"/>
    <w:uiPriority w:val="99"/>
    <w:semiHidden/>
    <w:unhideWhenUsed/>
    <w:rsid w:val="006B0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6B6"/>
  </w:style>
</w:styles>
</file>

<file path=word/webSettings.xml><?xml version="1.0" encoding="utf-8"?>
<w:webSettings xmlns:r="http://schemas.openxmlformats.org/officeDocument/2006/relationships" xmlns:w="http://schemas.openxmlformats.org/wordprocessingml/2006/main">
  <w:divs>
    <w:div w:id="33042306">
      <w:bodyDiv w:val="1"/>
      <w:marLeft w:val="0"/>
      <w:marRight w:val="0"/>
      <w:marTop w:val="0"/>
      <w:marBottom w:val="0"/>
      <w:divBdr>
        <w:top w:val="none" w:sz="0" w:space="0" w:color="auto"/>
        <w:left w:val="none" w:sz="0" w:space="0" w:color="auto"/>
        <w:bottom w:val="none" w:sz="0" w:space="0" w:color="auto"/>
        <w:right w:val="none" w:sz="0" w:space="0" w:color="auto"/>
      </w:divBdr>
    </w:div>
    <w:div w:id="154034941">
      <w:bodyDiv w:val="1"/>
      <w:marLeft w:val="0"/>
      <w:marRight w:val="0"/>
      <w:marTop w:val="0"/>
      <w:marBottom w:val="0"/>
      <w:divBdr>
        <w:top w:val="none" w:sz="0" w:space="0" w:color="auto"/>
        <w:left w:val="none" w:sz="0" w:space="0" w:color="auto"/>
        <w:bottom w:val="none" w:sz="0" w:space="0" w:color="auto"/>
        <w:right w:val="none" w:sz="0" w:space="0" w:color="auto"/>
      </w:divBdr>
    </w:div>
    <w:div w:id="193428029">
      <w:bodyDiv w:val="1"/>
      <w:marLeft w:val="0"/>
      <w:marRight w:val="0"/>
      <w:marTop w:val="0"/>
      <w:marBottom w:val="0"/>
      <w:divBdr>
        <w:top w:val="none" w:sz="0" w:space="0" w:color="auto"/>
        <w:left w:val="none" w:sz="0" w:space="0" w:color="auto"/>
        <w:bottom w:val="none" w:sz="0" w:space="0" w:color="auto"/>
        <w:right w:val="none" w:sz="0" w:space="0" w:color="auto"/>
      </w:divBdr>
    </w:div>
    <w:div w:id="360783034">
      <w:bodyDiv w:val="1"/>
      <w:marLeft w:val="0"/>
      <w:marRight w:val="0"/>
      <w:marTop w:val="0"/>
      <w:marBottom w:val="0"/>
      <w:divBdr>
        <w:top w:val="none" w:sz="0" w:space="0" w:color="auto"/>
        <w:left w:val="none" w:sz="0" w:space="0" w:color="auto"/>
        <w:bottom w:val="none" w:sz="0" w:space="0" w:color="auto"/>
        <w:right w:val="none" w:sz="0" w:space="0" w:color="auto"/>
      </w:divBdr>
    </w:div>
    <w:div w:id="452334339">
      <w:bodyDiv w:val="1"/>
      <w:marLeft w:val="0"/>
      <w:marRight w:val="0"/>
      <w:marTop w:val="0"/>
      <w:marBottom w:val="0"/>
      <w:divBdr>
        <w:top w:val="none" w:sz="0" w:space="0" w:color="auto"/>
        <w:left w:val="none" w:sz="0" w:space="0" w:color="auto"/>
        <w:bottom w:val="none" w:sz="0" w:space="0" w:color="auto"/>
        <w:right w:val="none" w:sz="0" w:space="0" w:color="auto"/>
      </w:divBdr>
    </w:div>
    <w:div w:id="473136742">
      <w:bodyDiv w:val="1"/>
      <w:marLeft w:val="0"/>
      <w:marRight w:val="0"/>
      <w:marTop w:val="0"/>
      <w:marBottom w:val="0"/>
      <w:divBdr>
        <w:top w:val="none" w:sz="0" w:space="0" w:color="auto"/>
        <w:left w:val="none" w:sz="0" w:space="0" w:color="auto"/>
        <w:bottom w:val="none" w:sz="0" w:space="0" w:color="auto"/>
        <w:right w:val="none" w:sz="0" w:space="0" w:color="auto"/>
      </w:divBdr>
    </w:div>
    <w:div w:id="741178224">
      <w:bodyDiv w:val="1"/>
      <w:marLeft w:val="0"/>
      <w:marRight w:val="0"/>
      <w:marTop w:val="0"/>
      <w:marBottom w:val="0"/>
      <w:divBdr>
        <w:top w:val="none" w:sz="0" w:space="0" w:color="auto"/>
        <w:left w:val="none" w:sz="0" w:space="0" w:color="auto"/>
        <w:bottom w:val="none" w:sz="0" w:space="0" w:color="auto"/>
        <w:right w:val="none" w:sz="0" w:space="0" w:color="auto"/>
      </w:divBdr>
    </w:div>
    <w:div w:id="804355166">
      <w:bodyDiv w:val="1"/>
      <w:marLeft w:val="0"/>
      <w:marRight w:val="0"/>
      <w:marTop w:val="0"/>
      <w:marBottom w:val="0"/>
      <w:divBdr>
        <w:top w:val="none" w:sz="0" w:space="0" w:color="auto"/>
        <w:left w:val="none" w:sz="0" w:space="0" w:color="auto"/>
        <w:bottom w:val="none" w:sz="0" w:space="0" w:color="auto"/>
        <w:right w:val="none" w:sz="0" w:space="0" w:color="auto"/>
      </w:divBdr>
    </w:div>
    <w:div w:id="882399281">
      <w:bodyDiv w:val="1"/>
      <w:marLeft w:val="0"/>
      <w:marRight w:val="0"/>
      <w:marTop w:val="0"/>
      <w:marBottom w:val="0"/>
      <w:divBdr>
        <w:top w:val="none" w:sz="0" w:space="0" w:color="auto"/>
        <w:left w:val="none" w:sz="0" w:space="0" w:color="auto"/>
        <w:bottom w:val="none" w:sz="0" w:space="0" w:color="auto"/>
        <w:right w:val="none" w:sz="0" w:space="0" w:color="auto"/>
      </w:divBdr>
    </w:div>
    <w:div w:id="951131538">
      <w:bodyDiv w:val="1"/>
      <w:marLeft w:val="0"/>
      <w:marRight w:val="0"/>
      <w:marTop w:val="0"/>
      <w:marBottom w:val="0"/>
      <w:divBdr>
        <w:top w:val="none" w:sz="0" w:space="0" w:color="auto"/>
        <w:left w:val="none" w:sz="0" w:space="0" w:color="auto"/>
        <w:bottom w:val="none" w:sz="0" w:space="0" w:color="auto"/>
        <w:right w:val="none" w:sz="0" w:space="0" w:color="auto"/>
      </w:divBdr>
    </w:div>
    <w:div w:id="1016545217">
      <w:bodyDiv w:val="1"/>
      <w:marLeft w:val="0"/>
      <w:marRight w:val="0"/>
      <w:marTop w:val="0"/>
      <w:marBottom w:val="0"/>
      <w:divBdr>
        <w:top w:val="none" w:sz="0" w:space="0" w:color="auto"/>
        <w:left w:val="none" w:sz="0" w:space="0" w:color="auto"/>
        <w:bottom w:val="none" w:sz="0" w:space="0" w:color="auto"/>
        <w:right w:val="none" w:sz="0" w:space="0" w:color="auto"/>
      </w:divBdr>
    </w:div>
    <w:div w:id="1031609821">
      <w:bodyDiv w:val="1"/>
      <w:marLeft w:val="0"/>
      <w:marRight w:val="0"/>
      <w:marTop w:val="0"/>
      <w:marBottom w:val="0"/>
      <w:divBdr>
        <w:top w:val="none" w:sz="0" w:space="0" w:color="auto"/>
        <w:left w:val="none" w:sz="0" w:space="0" w:color="auto"/>
        <w:bottom w:val="none" w:sz="0" w:space="0" w:color="auto"/>
        <w:right w:val="none" w:sz="0" w:space="0" w:color="auto"/>
      </w:divBdr>
    </w:div>
    <w:div w:id="1264386564">
      <w:bodyDiv w:val="1"/>
      <w:marLeft w:val="0"/>
      <w:marRight w:val="0"/>
      <w:marTop w:val="0"/>
      <w:marBottom w:val="0"/>
      <w:divBdr>
        <w:top w:val="none" w:sz="0" w:space="0" w:color="auto"/>
        <w:left w:val="none" w:sz="0" w:space="0" w:color="auto"/>
        <w:bottom w:val="none" w:sz="0" w:space="0" w:color="auto"/>
        <w:right w:val="none" w:sz="0" w:space="0" w:color="auto"/>
      </w:divBdr>
    </w:div>
    <w:div w:id="1469518857">
      <w:bodyDiv w:val="1"/>
      <w:marLeft w:val="0"/>
      <w:marRight w:val="0"/>
      <w:marTop w:val="0"/>
      <w:marBottom w:val="0"/>
      <w:divBdr>
        <w:top w:val="none" w:sz="0" w:space="0" w:color="auto"/>
        <w:left w:val="none" w:sz="0" w:space="0" w:color="auto"/>
        <w:bottom w:val="none" w:sz="0" w:space="0" w:color="auto"/>
        <w:right w:val="none" w:sz="0" w:space="0" w:color="auto"/>
      </w:divBdr>
    </w:div>
    <w:div w:id="1489857013">
      <w:bodyDiv w:val="1"/>
      <w:marLeft w:val="0"/>
      <w:marRight w:val="0"/>
      <w:marTop w:val="0"/>
      <w:marBottom w:val="0"/>
      <w:divBdr>
        <w:top w:val="none" w:sz="0" w:space="0" w:color="auto"/>
        <w:left w:val="none" w:sz="0" w:space="0" w:color="auto"/>
        <w:bottom w:val="none" w:sz="0" w:space="0" w:color="auto"/>
        <w:right w:val="none" w:sz="0" w:space="0" w:color="auto"/>
      </w:divBdr>
    </w:div>
    <w:div w:id="18492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o_ind@yahoo.com" TargetMode="External"/><Relationship Id="rId4" Type="http://schemas.openxmlformats.org/officeDocument/2006/relationships/webSettings" Target="webSettings.xml"/><Relationship Id="rId9" Type="http://schemas.openxmlformats.org/officeDocument/2006/relationships/hyperlink" Target="mailto:info@proto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dc:creator>
  <cp:lastModifiedBy>lab2</cp:lastModifiedBy>
  <cp:revision>60</cp:revision>
  <cp:lastPrinted>2017-03-16T08:32:00Z</cp:lastPrinted>
  <dcterms:created xsi:type="dcterms:W3CDTF">2017-03-26T07:02:00Z</dcterms:created>
  <dcterms:modified xsi:type="dcterms:W3CDTF">2017-03-28T08:33:00Z</dcterms:modified>
</cp:coreProperties>
</file>